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26385-2023 i Norrköpings kommun</w:t>
      </w:r>
    </w:p>
    <w:p>
      <w:r>
        <w:t>Detta klagomål behandlar höga naturvärden i avverkningsanmälan A 26385-2023 i Norrköpings kommun som inkom 2023-06-09 och omfattar 9,0 ha.</w:t>
      </w:r>
    </w:p>
    <w:p>
      <w:pPr>
        <w:pStyle w:val="Caption"/>
      </w:pPr>
      <w:r>
        <w:drawing>
          <wp:inline xmlns:a="http://schemas.openxmlformats.org/drawingml/2006/main" xmlns:pic="http://schemas.openxmlformats.org/drawingml/2006/picture">
            <wp:extent cx="5319974" cy="5724000"/>
            <wp:docPr id="1" name="Picture 1"/>
            <wp:cNvGraphicFramePr>
              <a:graphicFrameLocks noChangeAspect="1"/>
            </wp:cNvGraphicFramePr>
            <a:graphic>
              <a:graphicData uri="http://schemas.openxmlformats.org/drawingml/2006/picture">
                <pic:pic>
                  <pic:nvPicPr>
                    <pic:cNvPr id="0" name="A 26385-2023 karta.png"/>
                    <pic:cNvPicPr/>
                  </pic:nvPicPr>
                  <pic:blipFill>
                    <a:blip r:embed="rId16"/>
                    <a:stretch>
                      <a:fillRect/>
                    </a:stretch>
                  </pic:blipFill>
                  <pic:spPr>
                    <a:xfrm>
                      <a:off x="0" y="0"/>
                      <a:ext cx="5319974"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6505448, E 574120 i SWEREF 99 TM.</w:t>
      </w:r>
    </w:p>
    <w:p>
      <w:r>
        <w:t>I och inom 25 meter från avverkningsanmälan finns fynd av 9 naturvårdsarter, varav 6 är rödlistade, 1 är fridlyst, 7 är typiska (T) och 3 är signalarter (S): granlundlav (EN), hasselsnok (VU, §4a), lunglav (NT, T), rosa skärelav (NT, T), tallticka (NT, T), vedskivlav (NT, T), fällmossa (S, T), grovticka (S, T) och klippfrullania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Granlundlav (EN)</w:t>
      </w:r>
      <w:r>
        <w:t xml:space="preserve"> är en starkt hotad art som har ett fåtal förekomster från Blekinge till Ångermanland. Växer i skogar med lång trädkontinuitet på gamla lövträd. Arten hotas av skogsbruk och exploatering. Samtliga lokaler måste skyddas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