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11100-2025 i Norrköpings kommun</w:t>
      </w:r>
    </w:p>
    <w:p>
      <w:r>
        <w:t>Denna tillsynsbegäran behandlar höga naturvärden i avverkningsanmälan A 11100-2025 i Norrköpings kommun som inkom 2025-03-07 och omfattar 2,0 ha.</w:t>
      </w:r>
    </w:p>
    <w:p>
      <w:pPr>
        <w:pStyle w:val="Caption"/>
      </w:pPr>
      <w:r>
        <w:drawing>
          <wp:inline xmlns:a="http://schemas.openxmlformats.org/drawingml/2006/main" xmlns:pic="http://schemas.openxmlformats.org/drawingml/2006/picture">
            <wp:extent cx="5486400" cy="4743568"/>
            <wp:docPr id="1" name="Picture 1"/>
            <wp:cNvGraphicFramePr>
              <a:graphicFrameLocks noChangeAspect="1"/>
            </wp:cNvGraphicFramePr>
            <a:graphic>
              <a:graphicData uri="http://schemas.openxmlformats.org/drawingml/2006/picture">
                <pic:pic>
                  <pic:nvPicPr>
                    <pic:cNvPr id="0" name="A 11100-2025 karta.png"/>
                    <pic:cNvPicPr/>
                  </pic:nvPicPr>
                  <pic:blipFill>
                    <a:blip r:embed="rId16"/>
                    <a:stretch>
                      <a:fillRect/>
                    </a:stretch>
                  </pic:blipFill>
                  <pic:spPr>
                    <a:xfrm>
                      <a:off x="0" y="0"/>
                      <a:ext cx="5486400" cy="4743568"/>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6510142, E 567533 i SWEREF 99 TM.</w:t>
      </w:r>
    </w:p>
    <w:p>
      <w:r>
        <w:t>I och inom 8 meter från avverkningsanmälan finns fynd av 7 naturvårdsarter, varav 2 är fridlysta, 6 är typiska (T) och 5 är signalarter (S): fällmossa (S, T), guldlockmossa (S, T), platt fjädermossa (S, T), scharlakansvårskål agg. (S), trubbfjädermossa (S, T),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fällmossa (S, T), guldlockmossa (S, T), platt fjädermossa (S, T), trubbfjädermossa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