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212-2025 i Norrköpings kommun</w:t>
      </w:r>
    </w:p>
    <w:p>
      <w:r>
        <w:t>Denna tillsynsbegäran behandlar höga naturvärden i samrådsanmälan S 212-2025 i Norrköpings kommun som inkom 2025-01-22 och omfattar 109,8 ha.</w:t>
      </w:r>
    </w:p>
    <w:p>
      <w:pPr>
        <w:pStyle w:val="Caption"/>
      </w:pPr>
      <w:r>
        <w:drawing>
          <wp:inline xmlns:a="http://schemas.openxmlformats.org/drawingml/2006/main" xmlns:pic="http://schemas.openxmlformats.org/drawingml/2006/picture">
            <wp:extent cx="5486400" cy="4715287"/>
            <wp:docPr id="1" name="Picture 1"/>
            <wp:cNvGraphicFramePr>
              <a:graphicFrameLocks noChangeAspect="1"/>
            </wp:cNvGraphicFramePr>
            <a:graphic>
              <a:graphicData uri="http://schemas.openxmlformats.org/drawingml/2006/picture">
                <pic:pic>
                  <pic:nvPicPr>
                    <pic:cNvPr id="0" name="S 212-2025 karta.png"/>
                    <pic:cNvPicPr/>
                  </pic:nvPicPr>
                  <pic:blipFill>
                    <a:blip r:embed="rId16"/>
                    <a:stretch>
                      <a:fillRect/>
                    </a:stretch>
                  </pic:blipFill>
                  <pic:spPr>
                    <a:xfrm>
                      <a:off x="0" y="0"/>
                      <a:ext cx="5486400" cy="4715287"/>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6508301, E 556947 i SWEREF 99 TM.</w:t>
      </w:r>
    </w:p>
    <w:p>
      <w:r>
        <w:t>Inom 24 meter från samrådsanmälan finns fynd av 8 naturvårdsarter, varav 5 är rödlistade, 4 är fridlysta, 6 är typiska (T) och 1 är signalart (S): grynig filtlav (NT, T), gulsparv (NT, §4), motaggsvamp (NT, T), tallticka (NT, T), talltita (NT, §4), stekelbock (S, T), järpe (T, §4)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grynig filtlav (NT, T), motaggsvamp (NT, T), tallticka (NT, T), stekelbock (S, T), järpe (T, §4)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