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och inom 23 meter från avverkningsanmälan finns fynd av 13 naturvårdsarter, varav 7 är rödlistade, 4 är fridlysta, 10 är typiska (T) och 4 är signalarter (S): knärot (VU, T, §8), dropptaggsvamp (NT, T), grönhjon (NT), orange taggsvamp (NT, T), reliktbock (NT, T), tallticka (NT, T), talltita (NT, §4), granbarkgnagare (S, T), grovticka (S, T), mindre märgborre (S, T), stubbspretmossa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12279-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6483851, E 608161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