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21520-2024 i Norrköpings kommun</w:t>
      </w:r>
    </w:p>
    <w:p>
      <w:r>
        <w:t>Detta klagomål behandlar höga naturvärden i avverkningsanmälan A 21520-2024 i Norrköpings kommun som inkom 2024-05-29 och omfattar 7,2 ha.</w:t>
      </w:r>
    </w:p>
    <w:p>
      <w:pPr>
        <w:pStyle w:val="Caption"/>
      </w:pPr>
      <w:r>
        <w:drawing>
          <wp:inline xmlns:a="http://schemas.openxmlformats.org/drawingml/2006/main" xmlns:pic="http://schemas.openxmlformats.org/drawingml/2006/picture">
            <wp:extent cx="4897856" cy="5724000"/>
            <wp:docPr id="1" name="Picture 1"/>
            <wp:cNvGraphicFramePr>
              <a:graphicFrameLocks noChangeAspect="1"/>
            </wp:cNvGraphicFramePr>
            <a:graphic>
              <a:graphicData uri="http://schemas.openxmlformats.org/drawingml/2006/picture">
                <pic:pic>
                  <pic:nvPicPr>
                    <pic:cNvPr id="0" name="A 21520-2024 karta.png"/>
                    <pic:cNvPicPr/>
                  </pic:nvPicPr>
                  <pic:blipFill>
                    <a:blip r:embed="rId16"/>
                    <a:stretch>
                      <a:fillRect/>
                    </a:stretch>
                  </pic:blipFill>
                  <pic:spPr>
                    <a:xfrm>
                      <a:off x="0" y="0"/>
                      <a:ext cx="4897856"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6515999, E 569124 i SWEREF 99 TM.</w:t>
      </w:r>
    </w:p>
    <w:p>
      <w:r>
        <w:t>I avverkningsanmälan finns fynd av 8 naturvårdsarter, varav 4 är rödlistade, 1 är fridlyst, 6 är typiska (T) och 3 är signalarter (S): dvärgbägarlav (NT, T), gransotdyna (NT), ullticka (NT, T), vedskivlav (NT, T), blodticka (S, T), blåmossa (S, T), grönpyrola (S, T) och kopparödla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Gransotdyna (NT)</w:t>
      </w:r>
      <w:r>
        <w:t xml:space="preserve"> är en nedbrytare på grova, murkna, ofta barklösa stubbar och liggande stammar av gran, sällan även av bok. Den kräver tillgång till lågor och stubbar i frisk till fuktig miljö och är helt bunden till skogsbestånd med hög bonitet. Gransotdyna hotas av det intensiva utnyttjandet av granskogar med hög bonitet. Arten förekommer främst i de sydliga delarna av landet där bristen på äldre skog är mest påtaglig. Alla lokaler för arten måste undantas från rationellt skogsbruk och tillgången på död ved av grova dimensioner måste säkerställas. Fler områden med äldre granskog måste skyddas i södra Sverige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Blodticka </w:t>
      </w:r>
      <w:r>
        <w:t xml:space="preserve">är i norra Sverige främst knuten till grova granlågor i urskogsartad barrskog, men förekommer ibland även på klenare granar i anslutning till bäckar och sumpskogar. Den är en bra indikator på granskogar med höga naturvärden och oftast förekommer den tillsammans med ett stort antal ovanliga och rödlistade arter. I södra Sverige växer den framför allt på tall och har då ett lägre signalvärde. Blodticka är typisk art för </w:t>
      </w:r>
      <w:r>
        <w:rPr>
          <w:i/>
        </w:rPr>
        <w:t>9030 Landhöjningsskog</w:t>
      </w:r>
      <w:r>
        <w:t xml:space="preserve"> (SLU Artdatabanken, 2025;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