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18491-2023 i Norrköpings kommun</w:t>
      </w:r>
    </w:p>
    <w:p>
      <w:r>
        <w:t>Denna tillsynsbegäran behandlar höga naturvärden i avverkningsanmälan A 18491-2023 i Norrköpings kommun som inkom 2023-04-26 och omfattar 7,0 ha.</w:t>
      </w:r>
    </w:p>
    <w:p>
      <w:pPr>
        <w:pStyle w:val="Caption"/>
      </w:pPr>
      <w:r>
        <w:drawing>
          <wp:inline xmlns:a="http://schemas.openxmlformats.org/drawingml/2006/main" xmlns:pic="http://schemas.openxmlformats.org/drawingml/2006/picture">
            <wp:extent cx="5486400" cy="4983009"/>
            <wp:docPr id="1" name="Picture 1"/>
            <wp:cNvGraphicFramePr>
              <a:graphicFrameLocks noChangeAspect="1"/>
            </wp:cNvGraphicFramePr>
            <a:graphic>
              <a:graphicData uri="http://schemas.openxmlformats.org/drawingml/2006/picture">
                <pic:pic>
                  <pic:nvPicPr>
                    <pic:cNvPr id="0" name="A 18491-2023 karta.png"/>
                    <pic:cNvPicPr/>
                  </pic:nvPicPr>
                  <pic:blipFill>
                    <a:blip r:embed="rId16"/>
                    <a:stretch>
                      <a:fillRect/>
                    </a:stretch>
                  </pic:blipFill>
                  <pic:spPr>
                    <a:xfrm>
                      <a:off x="0" y="0"/>
                      <a:ext cx="5486400" cy="4983009"/>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6515558, E 566286 i SWEREF 99 TM.</w:t>
      </w:r>
    </w:p>
    <w:p>
      <w:r>
        <w:t>I och inom 20 meter från avverkningsanmälan finns fynd av 4 naturvårdsarter, varav 3 är rödlistade, 2 är typiska (T) och 1 är signalart (S): citronporing (VU), kandelabersvamp (NT, T), vit vedfingersvamp (NT) och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Citronporing (VU)</w:t>
      </w:r>
      <w:r>
        <w:t xml:space="preserve"> växer på granlågor i naturskogsartade granskogar. Den påträffas ofta på eller nära fruktkroppar av klibbticka. Citronporing är globalt rödlistad som starkt hotad (EN) vilket innebär att Sverige har ett internationellt ansvar för arten. Alla skogsskötselåtgärder på eller i direkt anslutning till växtplatserna utgör ett hot och områden som hyser arten måste undantas helt från skogsbruk. Lokaler där citronporing påträffas bör ges ett juridiskt skydd (SLU Artdatabanken, 2026; IUCN, 2019).</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Vit vedfingersvamp (NT)</w:t>
      </w:r>
      <w:r>
        <w:t xml:space="preserve"> växer på murken lövved, främst grova och barklösa asplågor. Svampen indikerar sena aspsuccessioner inom områden med konstant hög luftfuktighet. Raviner, bergrötter och liknande platser med skuggiga förhållanden och fuktig mark med ett stort inslag av lövträd är exempel på biotoper där vit vedfingersvamp ofta växer och dessa bör undantas från skogsbruk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