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21520-2024 i Norrköpings kommun</w:t>
      </w:r>
    </w:p>
    <w:p>
      <w:r>
        <w:t>Denna tillsynsbegäran behandlar höga naturvärden i avverkningsanmälan A 21520-2024 i Norrköpings kommun som inkom 2024-05-29 och omfattar 7,2 ha.</w:t>
      </w:r>
    </w:p>
    <w:p>
      <w:pPr>
        <w:pStyle w:val="Caption"/>
      </w:pPr>
      <w:r>
        <w:drawing>
          <wp:inline xmlns:a="http://schemas.openxmlformats.org/drawingml/2006/main" xmlns:pic="http://schemas.openxmlformats.org/drawingml/2006/picture">
            <wp:extent cx="4897856" cy="5724000"/>
            <wp:docPr id="1" name="Picture 1"/>
            <wp:cNvGraphicFramePr>
              <a:graphicFrameLocks noChangeAspect="1"/>
            </wp:cNvGraphicFramePr>
            <a:graphic>
              <a:graphicData uri="http://schemas.openxmlformats.org/drawingml/2006/picture">
                <pic:pic>
                  <pic:nvPicPr>
                    <pic:cNvPr id="0" name="A 21520-2024 karta.png"/>
                    <pic:cNvPicPr/>
                  </pic:nvPicPr>
                  <pic:blipFill>
                    <a:blip r:embed="rId16"/>
                    <a:stretch>
                      <a:fillRect/>
                    </a:stretch>
                  </pic:blipFill>
                  <pic:spPr>
                    <a:xfrm>
                      <a:off x="0" y="0"/>
                      <a:ext cx="48978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6515999, E 569124 i SWEREF 99 TM.</w:t>
      </w:r>
    </w:p>
    <w:p>
      <w:r>
        <w:t>I avverkningsanmälan finns fynd av 8 naturvårdsarter, varav 4 är rödlistade, 1 är fridlyst, 6 är typiska (T) och 3 är signalarter (S): dvärgbägarlav (NT, T), gransotdyna (NT), ullticka (NT, T), vedskivlav (NT, T), blodticka (S, T), blåmossa (S, T), grönpyrola (S,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ullticka (NT, T), vedskivlav (NT, T), blodticka (S, T), blåmossa (S,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