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11516-2021 i Norrköpings kommun</w:t>
      </w:r>
    </w:p>
    <w:p>
      <w:r>
        <w:t>Detta dokument behandlar höga naturvärden i avverkningsanmälan A 11516-2021 i Norrköpings kommun. Denna avverkningsanmälan inkom 2021-03-09 00:00:00 och omfattar 4,2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13 naturvårdsarter hittats: aspgelélav (VU), knärot (VU, §8), ostticka (VU), gränsticka (NT), ullticka (NT), bronshjon (S), fällmossa (S), guldlockmossa (S), gulnål (S), kattfotslav (S), mörk husmossa (S), platt fjädermossa (S) och vedticka (S).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36257"/>
            <wp:docPr id="1" name="Picture 1"/>
            <wp:cNvGraphicFramePr>
              <a:graphicFrameLocks noChangeAspect="1"/>
            </wp:cNvGraphicFramePr>
            <a:graphic>
              <a:graphicData uri="http://schemas.openxmlformats.org/drawingml/2006/picture">
                <pic:pic>
                  <pic:nvPicPr>
                    <pic:cNvPr id="0" name="A 11516-2021 karta.png"/>
                    <pic:cNvPicPr/>
                  </pic:nvPicPr>
                  <pic:blipFill>
                    <a:blip r:embed="rId16"/>
                    <a:stretch>
                      <a:fillRect/>
                    </a:stretch>
                  </pic:blipFill>
                  <pic:spPr>
                    <a:xfrm>
                      <a:off x="0" y="0"/>
                      <a:ext cx="5486400" cy="613625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6507641, E 565333 i SWEREF 99 TM.</w:t>
      </w:r>
    </w:p>
    <w:p>
      <w:r>
        <w:rPr>
          <w:b/>
        </w:rPr>
        <w:t>Aspgelélav (VU)</w:t>
      </w:r>
      <w:r>
        <w:t xml:space="preserve"> växer praktiskt taget enbart på asp i skog med hög luftfuktighet. Aspgelélav missgynnas vid slutavverkning. I norra Sverige hotas arten genom slutavverkning av äldre barrskog med åldriga aspar, ofta på skogsbergens sluttningar. Arten försvinner på aspar som lämnas kvar på hyggen (SLU Artdatabanken, 2024).</w:t>
      </w:r>
    </w:p>
    <w:p>
      <w:r>
        <w:rPr>
          <w:b/>
        </w:rPr>
        <w:t>Fällmossa</w:t>
      </w:r>
      <w:r>
        <w:t xml:space="preserve"> indikerar i stort sett alltid områden med höga naturvärden, skog med lång kontinuitet, gamla träd, hög luftfuktighet och stabila förhållanden. Sporkapslar finnar man enbart på extra skyddsvärda lokaler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 xml:space="preserve">Kattfotslav </w:t>
      </w:r>
      <w:r>
        <w:t>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(Nitare &amp; Skogsstyrelsen, 2019).</w:t>
      </w:r>
    </w:p>
    <w:p>
      <w:r>
        <w:rPr>
          <w:b/>
        </w:rPr>
        <w:t xml:space="preserve">Mörk husmossa </w:t>
      </w:r>
      <w:r>
        <w:t>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(SLU Artdatabanken, 2024; Nitare &amp; Skogsstyrelsen, 2019).</w:t>
      </w:r>
    </w:p>
    <w:p>
      <w:r>
        <w:rPr>
          <w:b/>
        </w:rPr>
        <w:t xml:space="preserve">Ostticka (VU) </w:t>
      </w:r>
      <w:r>
        <w:t>växer huvudsakligen på grova granlågor i urskogsartad barrskog. Växtplatserna ligger vanligtvis i brandrefugiala områden med relativt hög luftfuktighet där skogen under lång tid haft en intern beståndsdynamik med successivt avdöende träd. Alla skogsskötselåtgärder på eller i omedelbar närhet av lokalerna inverkar negativt på artens fortlevnad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4 fyndplatser för knärot registrerade på Artportalen. Figur 2 visar gränserna för buffertzoner på 50 m, som behöver lämnas kring fyndplatserna för att knärotslokalerna inte ska försvinna vid en avverkning. Av det avverkningsanmälda området överlappar 1.23 ha med buffertzonerna och får av detta skäl inte avverkas.</w:t>
      </w:r>
    </w:p>
    <w:p>
      <w:pPr>
        <w:pStyle w:val="Caption"/>
      </w:pPr>
      <w:r>
        <w:drawing>
          <wp:inline xmlns:a="http://schemas.openxmlformats.org/drawingml/2006/main" xmlns:pic="http://schemas.openxmlformats.org/drawingml/2006/picture">
            <wp:extent cx="5486400" cy="7788012"/>
            <wp:docPr id="2" name="Picture 2"/>
            <wp:cNvGraphicFramePr>
              <a:graphicFrameLocks noChangeAspect="1"/>
            </wp:cNvGraphicFramePr>
            <a:graphic>
              <a:graphicData uri="http://schemas.openxmlformats.org/drawingml/2006/picture">
                <pic:pic>
                  <pic:nvPicPr>
                    <pic:cNvPr id="0" name="A 11516-2021 karta knärot.png"/>
                    <pic:cNvPicPr/>
                  </pic:nvPicPr>
                  <pic:blipFill>
                    <a:blip r:embed="rId17"/>
                    <a:stretch>
                      <a:fillRect/>
                    </a:stretch>
                  </pic:blipFill>
                  <pic:spPr>
                    <a:xfrm>
                      <a:off x="0" y="0"/>
                      <a:ext cx="5486400" cy="778801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6507641, E 565333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13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