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37730-2025 i Norrköpings kommun</w:t>
      </w:r>
    </w:p>
    <w:p>
      <w:r>
        <w:t>Denna tillsynsbegäran behandlar höga naturvärden i avverkningsanmälan A 37730-2025 i Norrköpings kommun som inkom 2025-08-11 och omfattar 4,2 ha.</w:t>
      </w:r>
    </w:p>
    <w:p>
      <w:pPr>
        <w:pStyle w:val="Caption"/>
      </w:pPr>
      <w:r>
        <w:drawing>
          <wp:inline xmlns:a="http://schemas.openxmlformats.org/drawingml/2006/main" xmlns:pic="http://schemas.openxmlformats.org/drawingml/2006/picture">
            <wp:extent cx="5486400" cy="4981412"/>
            <wp:docPr id="1" name="Picture 1"/>
            <wp:cNvGraphicFramePr>
              <a:graphicFrameLocks noChangeAspect="1"/>
            </wp:cNvGraphicFramePr>
            <a:graphic>
              <a:graphicData uri="http://schemas.openxmlformats.org/drawingml/2006/picture">
                <pic:pic>
                  <pic:nvPicPr>
                    <pic:cNvPr id="0" name="A 37730-2025 karta.png"/>
                    <pic:cNvPicPr/>
                  </pic:nvPicPr>
                  <pic:blipFill>
                    <a:blip r:embed="rId16"/>
                    <a:stretch>
                      <a:fillRect/>
                    </a:stretch>
                  </pic:blipFill>
                  <pic:spPr>
                    <a:xfrm>
                      <a:off x="0" y="0"/>
                      <a:ext cx="5486400" cy="4981412"/>
                    </a:xfrm>
                    <a:prstGeom prst="rect"/>
                  </pic:spPr>
                </pic:pic>
              </a:graphicData>
            </a:graphic>
          </wp:inline>
        </w:drawing>
      </w:r>
    </w:p>
    <w:p>
      <w:pPr>
        <w:pStyle w:val="Caption"/>
        <w:spacing w:after="240"/>
      </w:pPr>
      <w:r>
        <w:t>Figur 1. Fyndplatser för naturvårdsarter i och inom 21 meter från avverkningsanmälan. Markörer utan svart kant är placerade på fyndplatsen. Markörer med svart kant är placerade vid sidan av fyndplatsen och har ett svart streck som visar fyndplatsens exakta position. Kartans mittpunktskoordinat är N 6515852, E 567328 i SWEREF 99 TM.</w:t>
      </w:r>
    </w:p>
    <w:p>
      <w:r>
        <w:t>I och inom 21 meter från avverkningsanmälan finns fynd av 9 naturvårdsarter, varav 7 är rödlistade, 1 är fridlyst, 6 är typiska (T) och 1 är signalart (S): blek kryptolav (NT), kandelabersvamp (NT, T), motaggsvamp (NT, T), skogsklocka (NT), svinrot (NT), tallticka (NT, T), vippärt (NT, T), stekelbock (S, T) och blåsippa (T, §9).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Blek kryptolav (NT)</w:t>
      </w:r>
      <w:r>
        <w:t xml:space="preserve"> växer på fuktiga och förmultnande lågor och stubbar i skog. Endast ett fåtal fynd har gjorts, men mörkertalet kan vara stort. Lokalerna bör skyddas. Man bör se till att gamla stubbar och lågor alltid finns tillgängliga på lokalerna (SLU Artdatabanken, 2026).</w:t>
      </w:r>
    </w:p>
    <w:p>
      <w:r>
        <w:rPr>
          <w:b/>
        </w:rPr>
        <w:t>Kandelabersvamp (NT)</w:t>
      </w:r>
      <w:r>
        <w:t xml:space="preserve"> är en mycket bra signalart på skyddsvärda skogsbestånd i hela sitt utbredningsområde. Svampen indikerar sena aspsuccessioner inom områden med konstant hög luftfuktighet. Kandelabersvamp är typisk art för </w:t>
      </w:r>
      <w:r>
        <w:rPr>
          <w:i/>
        </w:rPr>
        <w:t xml:space="preserve">9010 Taiga </w:t>
      </w:r>
      <w:r>
        <w:t>(Nitare &amp; Skogsstyrelsen, 2019; SLU Artdatabanken, 2025).</w:t>
      </w:r>
    </w:p>
    <w:p>
      <w:r>
        <w:rPr>
          <w:b/>
        </w:rPr>
        <w:t xml:space="preserve">Motaggsvamp (NT) </w:t>
      </w:r>
      <w:r>
        <w:t xml:space="preserve">bildar mykorrhiza med tall i tallskog och hittas huvudsakligen i äldre, glesare skogsbestånd och hällmarksimpediment. Arten hotas främst av skogsavverkning och tycks försvinna efter slutavverkning, markberedning och plantering. Motaggsvamp är typisk art för </w:t>
      </w:r>
      <w:r>
        <w:rPr>
          <w:i/>
        </w:rPr>
        <w:t>9010 Taiga</w:t>
      </w:r>
      <w:r>
        <w:t xml:space="preserve"> (SLU Artdatabanken, 2024).</w:t>
      </w:r>
    </w:p>
    <w:p>
      <w:r>
        <w:rPr>
          <w:b/>
        </w:rPr>
        <w:t xml:space="preserve">Tallticka (NT) </w:t>
      </w:r>
      <w:r>
        <w:t xml:space="preserve">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Tallticka är typisk art för </w:t>
      </w:r>
      <w:r>
        <w:rPr>
          <w:i/>
        </w:rPr>
        <w:t xml:space="preserve">9010 Taiga </w:t>
      </w:r>
      <w:r>
        <w:t xml:space="preserve">och </w:t>
      </w:r>
      <w:r>
        <w:rPr>
          <w:i/>
        </w:rPr>
        <w:t>9060 Åsbarrskog</w:t>
      </w:r>
      <w:r>
        <w:t xml:space="preserve"> (SLU Artdatabanken, 2023; Nitare &amp; Skogsstyrelsen, 2019).</w:t>
      </w:r>
    </w:p>
    <w:p>
      <w:r>
        <w:rPr>
          <w:b/>
        </w:rPr>
        <w:t xml:space="preserve">Vippärt (NT) </w:t>
      </w:r>
      <w:r>
        <w:t xml:space="preserve">är en kalkgynnad, värmeälskande växt som påträffas i olika ljusöppna rika ädellövskogar och lundar. Ofta växer den i bryn och sydvända sluttningar, gärna på blockrika marker och visar på skydddsvärda skogsmiljöer med långvarig kontinuitet, såväl i rika ädellövskogar som kalkbarrskogar. På blad av främst gökärt men även på vippärt kan den rödlistade fjärilen snedsträckad gökärtsmal (NT) påträffas. Fjärilens larver gör stora, undersidiga blåsminor i bladen av värdväxten. Bladen buktar därmed starkt och är marmorerade på ovansidan, medan minans undersida är silvervit. Fjärilens kokong är ockragul och fäst vid något föremål på marken. Vippärt är typisk art för </w:t>
      </w:r>
      <w:r>
        <w:rPr>
          <w:i/>
        </w:rPr>
        <w:t>9060 Åsbarrskog</w:t>
      </w:r>
      <w:r>
        <w:t xml:space="preserve"> och </w:t>
      </w:r>
      <w:r>
        <w:rPr>
          <w:i/>
        </w:rPr>
        <w:t>1610 Åsöar i Östersjön</w:t>
      </w:r>
      <w:r>
        <w:t xml:space="preserve"> (Nitare &amp; Skogsstyrelsen, 2019; SLU Artdatabanken, 2026).</w:t>
      </w:r>
    </w:p>
    <w:p>
      <w:r>
        <w:rPr>
          <w:b/>
        </w:rPr>
        <w:t>Stekelbock</w:t>
      </w:r>
      <w:r>
        <w:t xml:space="preserve"> är knuten till äldre och gärna glesa lövskogar, och gynnas starkt av skogsbrand. Skalbaggens larvutveckling sker i ganska hård, solexponerad död ved i stående stammar av lövträd, främst björk, asp och al. Fullbildade individer påträffas i juni-augusti på lämplig ved eller i blommor av t.ex. strätta, fläder eller älggräs. Stekelbock är typisk art för </w:t>
      </w:r>
      <w:r>
        <w:rPr>
          <w:i/>
        </w:rPr>
        <w:t xml:space="preserve">9010 Taiga </w:t>
      </w:r>
      <w:r>
        <w:t>(SLU Artdatabanken, 2025).</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avverkningsanmälda skogen: kandelabersvamp (NT, T), motaggsvamp (NT, T), tallticka (NT, T), vippärt (NT, T), stekelbock (S, T) och blåsippa (T, §9).</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2" name="Picture 2"/>
            <wp:cNvGraphicFramePr>
              <a:graphicFrameLocks noChangeAspect="1"/>
            </wp:cNvGraphicFramePr>
            <a:graphic>
              <a:graphicData uri="http://schemas.openxmlformats.org/drawingml/2006/picture">
                <pic:pic>
                  <pic:nvPicPr>
                    <pic:cNvPr id="0" name="uppföljning av västlig taiga.jpeg"/>
                    <pic:cNvPicPr/>
                  </pic:nvPicPr>
                  <pic:blipFill>
                    <a:blip r:embed="rId17"/>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