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7650-2024 i Norrköpings kommun</w:t>
      </w:r>
    </w:p>
    <w:p>
      <w:r>
        <w:t>Detta dokument behandlar höga naturvärden i avverkningsanmälan A 7650-2024 i Norrköpings kommun. Denna avverkningsanmälan inkom 2024-02-26 16:24:03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parasitsotlav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1364"/>
            <wp:docPr id="1" name="Picture 1"/>
            <wp:cNvGraphicFramePr>
              <a:graphicFrameLocks noChangeAspect="1"/>
            </wp:cNvGraphicFramePr>
            <a:graphic>
              <a:graphicData uri="http://schemas.openxmlformats.org/drawingml/2006/picture">
                <pic:pic>
                  <pic:nvPicPr>
                    <pic:cNvPr id="0" name="A 7650-2024 karta.png"/>
                    <pic:cNvPicPr/>
                  </pic:nvPicPr>
                  <pic:blipFill>
                    <a:blip r:embed="rId16"/>
                    <a:stretch>
                      <a:fillRect/>
                    </a:stretch>
                  </pic:blipFill>
                  <pic:spPr>
                    <a:xfrm>
                      <a:off x="0" y="0"/>
                      <a:ext cx="5486400" cy="4591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6492656, E 562974 i SWEREF 99 TM.</w:t>
      </w:r>
    </w:p>
    <w:p>
      <w:r>
        <w:rPr>
          <w:b/>
        </w:rPr>
        <w:t>Parasitsotlav (NT)</w:t>
      </w:r>
      <w:r>
        <w:t xml:space="preserve"> är funnen på grova, ofta halvöppet stående, ädellövträd, oftast ek men även på ask och lönn. Den växer som parasit på olika skorplavar, nästan alltid på bålen av</w:t>
      </w:r>
      <w:r>
        <w:rPr>
          <w:i/>
        </w:rPr>
        <w:t xml:space="preserve"> Pertusaria</w:t>
      </w:r>
      <w:r>
        <w:t>-arter</w:t>
      </w:r>
      <w:r>
        <w:rPr>
          <w:i/>
        </w:rPr>
        <w:t xml:space="preserve"> </w:t>
      </w:r>
      <w:r>
        <w:t>och oftast på hagelporlav</w:t>
      </w:r>
      <w:r>
        <w:rPr>
          <w:i/>
        </w:rPr>
        <w:t xml:space="preserve"> P. coccodes</w:t>
      </w:r>
      <w:r>
        <w:t>. Hävdade marker där arten förekommer bör fortsätta att hävdas. Spara och friställ gamla grova ädellövträd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