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11109-2025 i Norrköpings kommun</w:t>
      </w:r>
    </w:p>
    <w:p>
      <w:r>
        <w:t>Denna tillsynsbegäran behandlar höga naturvärden i avverkningsanmälan A 11109-2025 i Norrköpings kommun som inkom 2025-03-07 och omfattar 8,5 ha.</w:t>
      </w:r>
    </w:p>
    <w:p>
      <w:pPr>
        <w:pStyle w:val="Caption"/>
      </w:pPr>
      <w:r>
        <w:drawing>
          <wp:inline xmlns:a="http://schemas.openxmlformats.org/drawingml/2006/main" xmlns:pic="http://schemas.openxmlformats.org/drawingml/2006/picture">
            <wp:extent cx="5292927" cy="5724000"/>
            <wp:docPr id="1" name="Picture 1"/>
            <wp:cNvGraphicFramePr>
              <a:graphicFrameLocks noChangeAspect="1"/>
            </wp:cNvGraphicFramePr>
            <a:graphic>
              <a:graphicData uri="http://schemas.openxmlformats.org/drawingml/2006/picture">
                <pic:pic>
                  <pic:nvPicPr>
                    <pic:cNvPr id="0" name="A 11109-2025 karta.png"/>
                    <pic:cNvPicPr/>
                  </pic:nvPicPr>
                  <pic:blipFill>
                    <a:blip r:embed="rId16"/>
                    <a:stretch>
                      <a:fillRect/>
                    </a:stretch>
                  </pic:blipFill>
                  <pic:spPr>
                    <a:xfrm>
                      <a:off x="0" y="0"/>
                      <a:ext cx="5292927"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6509865, E 567392 i SWEREF 99 TM.</w:t>
      </w:r>
    </w:p>
    <w:p>
      <w:r>
        <w:t>I och inom 25 meter från avverkningsanmälan finns fynd av 15 naturvårdsarter, varav 5 är rödlistade, 7 är fridlysta, 11 är typiska (T) och 6 är signalarter (S): knärot (VU, T, §8), grönsångare (NT, §4), motaggsvamp (NT, T), talltita (NT, §4), vedskivlav (NT, T), blåmossa (S, T), fällmossa (S, T), hasselticka (S, T), platt fjädermossa (S, T), scharlakansvårskål agg. (S), trubbfjädermossa (S, T), bergfink (T, §4), blåsippa (T, §9), spillkråka (T, §4) och grönsiska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3.08 ha med buffertzonerna och får av detta skäl inte avverkas.</w:t>
      </w:r>
    </w:p>
    <w:p>
      <w:pPr>
        <w:pStyle w:val="Caption"/>
      </w:pPr>
      <w:r>
        <w:drawing>
          <wp:inline xmlns:a="http://schemas.openxmlformats.org/drawingml/2006/main" xmlns:pic="http://schemas.openxmlformats.org/drawingml/2006/picture">
            <wp:extent cx="5486400" cy="5797485"/>
            <wp:docPr id="2" name="Picture 2"/>
            <wp:cNvGraphicFramePr>
              <a:graphicFrameLocks noChangeAspect="1"/>
            </wp:cNvGraphicFramePr>
            <a:graphic>
              <a:graphicData uri="http://schemas.openxmlformats.org/drawingml/2006/picture">
                <pic:pic>
                  <pic:nvPicPr>
                    <pic:cNvPr id="0" name="A 11109-2025 karta knärot.png"/>
                    <pic:cNvPicPr/>
                  </pic:nvPicPr>
                  <pic:blipFill>
                    <a:blip r:embed="rId17"/>
                    <a:stretch>
                      <a:fillRect/>
                    </a:stretch>
                  </pic:blipFill>
                  <pic:spPr>
                    <a:xfrm>
                      <a:off x="0" y="0"/>
                      <a:ext cx="5486400" cy="579748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6509865, E 567392 i SWEREF 99 TM.</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Bergfink (§4)</w:t>
      </w:r>
      <w:r>
        <w:t xml:space="preserve"> häckar i barr- och blandskog samt i fjällbjörkskog. Den förekommer i Norrland, västra Dalarna och norra Värmland samt sparsamt till sällsynt vidare söderut till mellersta Värmland, norra Västmanland och södra Gästrikland. Bergfink är typisk art för </w:t>
      </w:r>
      <w:r>
        <w:rPr>
          <w:i/>
        </w:rPr>
        <w:t>9040 Fjällbjörkskog</w:t>
      </w:r>
      <w:r>
        <w:t xml:space="preserv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motaggsvamp (NT, T), vedskivlav (NT, T), blåmossa (S, T), fällmossa (S, T), hasselticka (S, T), platt fjädermossa (S, T), trubbfjädermossa (S, T), bergfink (T, §4),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