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21520-2024 i Norrköpings kommun</w:t>
      </w:r>
    </w:p>
    <w:p>
      <w:r>
        <w:t>Detta dokument behandlar höga naturvärden i avverkningsanmälan A 21520-2024 i Norrköpings kommun. Denna avverkningsanmälan inkom 2024-05-29 00:00:00 och omfattar 7,2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dvärgbägarlav (NT), gransotdyna (NT), ullticka (NT), vedskivlav (NT), blodticka (S), blåmossa (S), grönpyrola (S) och kopparödla (§6).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9659"/>
            <wp:docPr id="1" name="Picture 1"/>
            <wp:cNvGraphicFramePr>
              <a:graphicFrameLocks noChangeAspect="1"/>
            </wp:cNvGraphicFramePr>
            <a:graphic>
              <a:graphicData uri="http://schemas.openxmlformats.org/drawingml/2006/picture">
                <pic:pic>
                  <pic:nvPicPr>
                    <pic:cNvPr id="0" name="A 21520-2024 karta.png"/>
                    <pic:cNvPicPr/>
                  </pic:nvPicPr>
                  <pic:blipFill>
                    <a:blip r:embed="rId16"/>
                    <a:stretch>
                      <a:fillRect/>
                    </a:stretch>
                  </pic:blipFill>
                  <pic:spPr>
                    <a:xfrm>
                      <a:off x="0" y="0"/>
                      <a:ext cx="5486400" cy="6629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6515999, E 569124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Gransotdyna (NT)</w:t>
      </w:r>
      <w:r>
        <w:t xml:space="preserve"> är en nedbrytare på grova, murkna, ofta barklösa stubbar och liggande stammar av gran, sällan även av bok. Den kräver tillgång till lågor och stubbar i frisk till fuktig miljö och är helt bunden till skogsbestånd med hög bonitet. Gransotdyna hotas av det intensiva utnyttjandet av granskogar med hög bonitet. Arten förekommer främst i de sydliga delarna av landet där bristen på äldre skog är mest påtaglig. Alla lokaler för arten måste undantas från rationellt skogsbruk och tillgången på död ved av grova dimensioner måste säkerställas. Fler områden med äldre granskog måste skyddas i södra Sverige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