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2165-2022 i Norrköpings kommun</w:t>
      </w:r>
    </w:p>
    <w:p>
      <w:r>
        <w:t>Detta dokument behandlar höga naturvärden i avverkningsanmälan A 2165-2022 i Norrköpings kommun. Denna avverkningsanmälan inkom 2022-01-17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röd skogslilja (NT, §8), granbarkgnagare (S), purpurknipprot (S, §8), stubbspretmossa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2165-2022 karta.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6493979, E 551261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röd skogslilja (NT, §8), purpurknipprot (S, §8) och blåsippa (§9).</w:t>
      </w:r>
    </w:p>
    <w:p>
      <w:r>
        <w:rPr>
          <w:b/>
        </w:rPr>
        <w:t>Röd skogslilja (NT, §8)</w:t>
      </w:r>
      <w:r>
        <w:t xml:space="preserve"> växer i öppna skogar, oftast i barrskogar, vilka domineras av tall. Den gynnas av kalk och sand och hittas i torrare miljöer än de flesta andra orkidéer. Arten är mycket känslig för markberedning men även av en alltför kraftig beskuggning. Den är känslig mot slutavverkning men vissa skogsbruksåtgärder kan möjligen gynna arten om det görs på rätt sätt. Röd skogslilja är fridlyst enligt 8 § artskyddsförordningen och placerad högst upp i Skogsstyrelsens värdepyramid för bedömning av skog med höga naturvärden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BillerudKorsnäs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