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45701-2024 i Norrköpings kommun</w:t>
      </w:r>
    </w:p>
    <w:p>
      <w:r>
        <w:t>Detta dokument behandlar höga naturvärden i avverkningsanmälan A 45701-2024 i Norrköpings kommun. Denna avverkningsanmälan inkom 2024-10-14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bronspraktbagge (NT), dvärgbägarlav (NT), motaggsvamp (NT), svartvit taggsvamp (NT), tallticka (NT), vedskivlav (NT), blåmossa (S), bronshjon (S), dropptaggsvamp (S), flagellkvastmossa (S)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45701-2024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6515595, E 563294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Bronspraktbagge (NT)</w:t>
      </w:r>
      <w:r>
        <w:t xml:space="preserve"> är en skalbagge vars larvutveckling sker i solexponerad, stående död ved av tall och gran. Arten missgynnas genom att glesa, äldre barrskogar avverkas och ersätts med täta barrträdsplanteringar. Äldre, glesa barrskogar med gott om grov död ved i främst sydöstra Sverige bör bevaras i sin helhet och inte avverkas. Bränd barrskog bör bevaras intakt, och naturvårdsbränningar är positivt. Torra, solexponerade barrträd i skogen bör få vara kvar, och inte plockas ut som exempelvis biobränsle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45701-2024 karta knärot.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6515595, E 563294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