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14506-2023 i Norrköpings kommun</w:t>
      </w:r>
    </w:p>
    <w:p>
      <w:r>
        <w:t>Detta dokument behandlar höga naturvärden i avverkningsanmälan A 14506-2023 i Norrköpings kommun. Denna avverkningsanmälan inkom 2023-03-27 00:00:00 och omfattar 7,7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21 naturvårdsarter hittats: raggtaggsvamp (EN), knärot (VU, §8), gul taggsvamp (NT), orange taggsvamp (NT), spillkråka (NT, §4), svart taggsvamp (NT), tallticka (NT), ullticka (NT), blomkålssvamp (S), blåmossa (S), bronshjon (S), dropptaggsvamp (S), grovticka (S), grön sköldmossa (S, §8), grönpyrola (S), mandelriska (S), mindre märgborre (S), rostfläck (S), stubbspretmossa (S), vanlig padda (§6) och blåsippa (§9).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0322"/>
            <wp:docPr id="1" name="Picture 1"/>
            <wp:cNvGraphicFramePr>
              <a:graphicFrameLocks noChangeAspect="1"/>
            </wp:cNvGraphicFramePr>
            <a:graphic>
              <a:graphicData uri="http://schemas.openxmlformats.org/drawingml/2006/picture">
                <pic:pic>
                  <pic:nvPicPr>
                    <pic:cNvPr id="0" name="A 14506-2023 karta.png"/>
                    <pic:cNvPicPr/>
                  </pic:nvPicPr>
                  <pic:blipFill>
                    <a:blip r:embed="rId16"/>
                    <a:stretch>
                      <a:fillRect/>
                    </a:stretch>
                  </pic:blipFill>
                  <pic:spPr>
                    <a:xfrm>
                      <a:off x="0" y="0"/>
                      <a:ext cx="5486400" cy="45403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6504442, E 562871 i SWEREF 99 TM.</w:t>
      </w:r>
    </w:p>
    <w:p>
      <w:r>
        <w:rPr>
          <w:b/>
        </w:rPr>
        <w:t xml:space="preserve">Blomkålssvamp </w:t>
      </w:r>
      <w:r>
        <w:t>är en parasit och vednedbrytare som växer på rötter och basala stamdelar av tall, enstaka gånger även på lärk och gran. Träden är oftast mycket gamla, gärna 150–200 år eller äldre. När blomkålssvamp påträffas i skogslandskapet signalerar den vanligtvis skyddsvärda tallbestånd med höga naturvärden. Den är då främst knuten till gamla skogar, oftast tallnaturskogar och olika restbiotoper där det förekommer biologiskt gamla träd. Samtliga tallar med blomkålssvamp bör klassas som naturvårdsträd och lämnas som framtida ”evighetsträd” (Nitare &amp; Skogsstyrelsen, 2019).</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Gul taggsvamp (NT) </w:t>
      </w:r>
      <w:r>
        <w:t>bildar mykorrhiza med gran helst på kalkrik mark, gärna i fuktig äldre ängsgranskog. Slutavverkning och markberedning missgynnar arten och fler områden med äldre skog på näringsrik mark, framför allt i södra och mellersta Sverige, behöver bevaras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p>
      <w:r>
        <w:rPr>
          <w:b/>
        </w:rPr>
        <w:t>Stubbspretmossa</w:t>
      </w:r>
      <w:r>
        <w:t xml:space="preserve"> växer på ved i rika löv- och barrskogar med relativt hög luftfuktighet och indikerar fuktiga skogsmiljöer med gott om murken ved och ofta höga naturvärden (SLU Artdatabanken, 2024).</w:t>
      </w:r>
    </w:p>
    <w:p>
      <w:r>
        <w:rPr>
          <w:b/>
        </w:rPr>
        <w:t xml:space="preserve">Svart taggsvamp (NT) </w:t>
      </w:r>
      <w:r>
        <w:t>bildar huvudsakligen mykorrhiza med gran och tall, men även med ek och bok. Slutavverkning utgör det största hotet mot arten och den överlever sannolikt inte en föryngringshuggning då barrträdens rötter dör efter avverkningen. Förekomsterna i barrskog är särskilt utsatta eftersom arten föredrar att växa i äldre, virkesrika skogar med högre bonitet, som avverkas i rask takt. Fler äldre, virkesrika barrskogar med högre bonitet måste formellt skyddas som biotopskyddsområden eller naturreservat. Även oskyddade växtplatser i lövskogsbiotoper bör få ett starkt skydd. Skogsområden med svart taggsvamp bör inte gallras eller plockhuggas om inte huggningen efterföljs av skogsbete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grön sköldmossa (S, §8), vanlig padda (§6) och blåsippa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6 fyndplatser för knärot registrerade på Artportalen. Figur 2 visar gränserna för buffertzoner på 50 m, som behöver lämnas kring fyndplatserna för att knärotslokalerna inte ska försvinna vid en avverkning. Av det avverkningsanmälda området överlappar 1.39 ha med buffertzonerna och får av detta skäl inte avverkas.</w:t>
      </w:r>
    </w:p>
    <w:p>
      <w:pPr>
        <w:pStyle w:val="Caption"/>
      </w:pPr>
      <w:r>
        <w:drawing>
          <wp:inline xmlns:a="http://schemas.openxmlformats.org/drawingml/2006/main" xmlns:pic="http://schemas.openxmlformats.org/drawingml/2006/picture">
            <wp:extent cx="5486400" cy="5496703"/>
            <wp:docPr id="2" name="Picture 2"/>
            <wp:cNvGraphicFramePr>
              <a:graphicFrameLocks noChangeAspect="1"/>
            </wp:cNvGraphicFramePr>
            <a:graphic>
              <a:graphicData uri="http://schemas.openxmlformats.org/drawingml/2006/picture">
                <pic:pic>
                  <pic:nvPicPr>
                    <pic:cNvPr id="0" name="A 14506-2023 karta knärot.png"/>
                    <pic:cNvPicPr/>
                  </pic:nvPicPr>
                  <pic:blipFill>
                    <a:blip r:embed="rId17"/>
                    <a:stretch>
                      <a:fillRect/>
                    </a:stretch>
                  </pic:blipFill>
                  <pic:spPr>
                    <a:xfrm>
                      <a:off x="0" y="0"/>
                      <a:ext cx="5486400" cy="549670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6504442, E 562871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