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51538-2024 i Norrköpings kommun</w:t>
      </w:r>
    </w:p>
    <w:p>
      <w:r>
        <w:t>Detta dokument behandlar höga naturvärden i avverkningsanmälan A 51538-2024 i Norrköpings kommun. Denna avverkningsanmälan inkom 2024-11-08 00:00:00 och omfattar 1,6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3 naturvårdsarter hittats: fällmossa (S), hasselticka (S) och blåsippa (§9).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201427"/>
            <wp:docPr id="1" name="Picture 1"/>
            <wp:cNvGraphicFramePr>
              <a:graphicFrameLocks noChangeAspect="1"/>
            </wp:cNvGraphicFramePr>
            <a:graphic>
              <a:graphicData uri="http://schemas.openxmlformats.org/drawingml/2006/picture">
                <pic:pic>
                  <pic:nvPicPr>
                    <pic:cNvPr id="0" name="A 51538-2024 karta.png"/>
                    <pic:cNvPicPr/>
                  </pic:nvPicPr>
                  <pic:blipFill>
                    <a:blip r:embed="rId16"/>
                    <a:stretch>
                      <a:fillRect/>
                    </a:stretch>
                  </pic:blipFill>
                  <pic:spPr>
                    <a:xfrm>
                      <a:off x="0" y="0"/>
                      <a:ext cx="5486400" cy="420142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6515181, E 562777 i SWEREF 99 TM.</w:t>
      </w:r>
    </w:p>
    <w:p>
      <w:r>
        <w:rPr>
          <w:b/>
        </w:rPr>
        <w:t>Fällmossa</w:t>
      </w:r>
      <w:r>
        <w:t xml:space="preserve"> indikerar i stort sett alltid områden med höga naturvärden, skog med lång kontinuitet, gamla träd, hög luftfuktighet och stabila förhållanden. Sporkapslar finnar man enbart på extra skyddsvärda lokaler (Nitare &amp; Skogsstyrelsen, 2019).</w:t>
      </w:r>
    </w:p>
    <w:p>
      <w:r>
        <w:rPr>
          <w:b/>
        </w:rPr>
        <w:t>Hasselticka</w:t>
      </w:r>
      <w:r>
        <w:t xml:space="preserve"> är en bra signalart för lundar med höga naturvärden. På lokalerna förekommer ofta många andra ovanliga och rödlistade arter. Växtplatserna har normalt långvarig lövkontinuitet av hassel (ibland al). Den kräver dessutom att det successivt bildas, och i området kontinuerligt förekommit, en viss mängd döda stammar. Arten tycks saknas i sekundära och i sen tid uppkomna al- och hasselmarker om dessa inte ligger i direkt anslutning till äldre förekomster (Nitare &amp; Skogsstyrelsen, 2019).</w:t>
      </w:r>
    </w:p>
    <w:p>
      <w:pPr>
        <w:pStyle w:val="Heading1"/>
      </w:pPr>
      <w:r>
        <w:t>Fridlysta arter</w:t>
      </w:r>
    </w:p>
    <w:p>
      <w:r>
        <w:t>Följande fridlysta arter har sina livsmiljöer och växtplatser i den avverkningsanmälda skogen: blåsippa (§9).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2025-10-31</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