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och inom 23 meter från avverkningsanmälan finns fynd av 13 naturvårdsarter, varav 7 är rödlistade, 4 är fridlysta, 10 är typiska (T) och 4 är signalarter (S): knärot (VU, T, §8), dropptaggsvamp (NT, T), grönhjon (NT), orange taggsvamp (NT, T), reliktbock (NT, T), tallticka (NT, T), talltita (NT, §4), granbarkgnagare (S, T), grovticka (S, T), mindre märgborre (S, T), stubbspretmossa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12279-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6483851, E 608161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reliktbock (NT, T), tallticka (NT, T), granbarkgnagare (S, T), grovticka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