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24615-2025 i Norrköpings kommun</w:t>
      </w:r>
    </w:p>
    <w:p>
      <w:r>
        <w:t>Detta klagomål behandlar höga naturvärden i avverkningsanmälan A 24615-2025 i Norrköpings kommun som inkom 2025-05-21 och omfattar 11,3 ha.</w:t>
      </w:r>
    </w:p>
    <w:p>
      <w:pPr>
        <w:pStyle w:val="Caption"/>
      </w:pPr>
      <w:r>
        <w:drawing>
          <wp:inline xmlns:a="http://schemas.openxmlformats.org/drawingml/2006/main" xmlns:pic="http://schemas.openxmlformats.org/drawingml/2006/picture">
            <wp:extent cx="5486400" cy="4275998"/>
            <wp:docPr id="1" name="Picture 1"/>
            <wp:cNvGraphicFramePr>
              <a:graphicFrameLocks noChangeAspect="1"/>
            </wp:cNvGraphicFramePr>
            <a:graphic>
              <a:graphicData uri="http://schemas.openxmlformats.org/drawingml/2006/picture">
                <pic:pic>
                  <pic:nvPicPr>
                    <pic:cNvPr id="0" name="A 24615-2025 karta.png"/>
                    <pic:cNvPicPr/>
                  </pic:nvPicPr>
                  <pic:blipFill>
                    <a:blip r:embed="rId16"/>
                    <a:stretch>
                      <a:fillRect/>
                    </a:stretch>
                  </pic:blipFill>
                  <pic:spPr>
                    <a:xfrm>
                      <a:off x="0" y="0"/>
                      <a:ext cx="5486400" cy="427599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6516711, E 566314 i SWEREF 99 TM.</w:t>
      </w:r>
    </w:p>
    <w:p>
      <w:r>
        <w:t>I och inom 23 meter från avverkningsanmälan finns fynd av 23 naturvårdsarter, varav 17 är rödlistade, 4 är fridlysta, 15 är typiska (T) och 4 är signalarter (S): knärot (VU, T, §8), lakritsmusseron (VU, T), skrovlig taggsvamp (VU), tornseglare (VU, §4), blå taggsvamp (NT, T), dropptaggsvamp (NT, T), gropticka (NT, T), kolflarnlav (NT, T), motaggsvamp (NT, T), orange taggsvamp (NT, T), svartvit taggsvamp (NT), tallfingersvamp (NT), talltaggsvamp (NT), tallticka (NT, T), talltita (NT, §4), ullticka (NT, T), vedskivlav (NT, T), blomkålssvamp (S), grönpyrola (S, T), kornknutmossa (S, T), zontaggsvamp (S), spillkråka (T, §4) och svart taggsvamp agg.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3902697"/>
            <wp:docPr id="2" name="Picture 2"/>
            <wp:cNvGraphicFramePr>
              <a:graphicFrameLocks noChangeAspect="1"/>
            </wp:cNvGraphicFramePr>
            <a:graphic>
              <a:graphicData uri="http://schemas.openxmlformats.org/drawingml/2006/picture">
                <pic:pic>
                  <pic:nvPicPr>
                    <pic:cNvPr id="0" name="A 24615-2025 karta knärot.png"/>
                    <pic:cNvPicPr/>
                  </pic:nvPicPr>
                  <pic:blipFill>
                    <a:blip r:embed="rId17"/>
                    <a:stretch>
                      <a:fillRect/>
                    </a:stretch>
                  </pic:blipFill>
                  <pic:spPr>
                    <a:xfrm>
                      <a:off x="0" y="0"/>
                      <a:ext cx="5486400" cy="39026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6516711, E 566314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