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16867-2024 i Norrköpings kommun</w:t>
      </w:r>
    </w:p>
    <w:p>
      <w:r>
        <w:t>Detta klagomål behandlar höga naturvärden i avverkningsanmälan A 16867-2024 i Norrköpings kommun som inkom 2024-04-29 och omfattar 3,0 ha.</w:t>
      </w:r>
    </w:p>
    <w:p>
      <w:pPr>
        <w:pStyle w:val="Caption"/>
      </w:pPr>
      <w:r>
        <w:drawing>
          <wp:inline xmlns:a="http://schemas.openxmlformats.org/drawingml/2006/main" xmlns:pic="http://schemas.openxmlformats.org/drawingml/2006/picture">
            <wp:extent cx="5027678" cy="5724000"/>
            <wp:docPr id="1" name="Picture 1"/>
            <wp:cNvGraphicFramePr>
              <a:graphicFrameLocks noChangeAspect="1"/>
            </wp:cNvGraphicFramePr>
            <a:graphic>
              <a:graphicData uri="http://schemas.openxmlformats.org/drawingml/2006/picture">
                <pic:pic>
                  <pic:nvPicPr>
                    <pic:cNvPr id="0" name="A 16867-2024 karta.png"/>
                    <pic:cNvPicPr/>
                  </pic:nvPicPr>
                  <pic:blipFill>
                    <a:blip r:embed="rId16"/>
                    <a:stretch>
                      <a:fillRect/>
                    </a:stretch>
                  </pic:blipFill>
                  <pic:spPr>
                    <a:xfrm>
                      <a:off x="0" y="0"/>
                      <a:ext cx="5027678"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6511892, E 563538 i SWEREF 99 TM.</w:t>
      </w:r>
    </w:p>
    <w:p>
      <w:r>
        <w:t>I och inom 21 meter från avverkningsanmälan finns fynd av 11 naturvårdsarter, varav 6 är rödlistade, 5 är fridlysta, 3 är typiska (T) och 1 är signalart (S): ask (EN), stare (VU, §4), jungfrulin (NT), svinrot (NT), vanlig backsmörblomma (NT), vippärt (NT, T), tibast (S, T), blåsippa (T, §9), gröngöling (§4),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