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57525-2022 i Norrköpings kommun</w:t>
      </w:r>
    </w:p>
    <w:p>
      <w:r>
        <w:t>Detta klagomål behandlar höga naturvärden i avverkningsanmälan A 57525-2022 i Norrköpings kommun som inkom 2022-12-01 och omfattar 16,7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57525-2022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6504590, E 566277 i SWEREF 99 TM.</w:t>
      </w:r>
    </w:p>
    <w:p>
      <w:r>
        <w:t>I och inom 13 meter från avverkningsanmälan finns fynd av 19 naturvårdsarter, varav 6 är rödlistade, 2 är fridlysta, 17 är typiska (T) och 12 är signalarter (S): kolflarnlav (NT, T), motaggsvamp (NT, T), reliktbock (NT, T), tallticka (NT, T), vedskivlav (NT, T), vintertagging (NT), blomkålssvamp (S), blåmossa (S, T), flagellkvastmossa (S, T), fällmossa (S, T), granbarkgnagare (S, T), grovticka (S, T), grön sköldmossa (S, T, §8), guldlockmossa (S, T), hasselticka (S, T), mindre märgborre (S, T), platt fjädermossa (S, T), trädporella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