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23100-2026 i Söderköpings kommun</w:t>
      </w:r>
    </w:p>
    <w:p>
      <w:r>
        <w:t>Detta klagomål behandlar höga naturvärden i avverkningsanmälan A 23100-2026 i Söderköpings kommun som inkom 2026-05-19 och omfattar 1,4 ha.</w:t>
      </w:r>
    </w:p>
    <w:p>
      <w:pPr>
        <w:pStyle w:val="Caption"/>
      </w:pPr>
      <w:r>
        <w:drawing>
          <wp:inline xmlns:a="http://schemas.openxmlformats.org/drawingml/2006/main" xmlns:pic="http://schemas.openxmlformats.org/drawingml/2006/picture">
            <wp:extent cx="5343869" cy="5724000"/>
            <wp:docPr id="1" name="Picture 1"/>
            <wp:cNvGraphicFramePr>
              <a:graphicFrameLocks noChangeAspect="1"/>
            </wp:cNvGraphicFramePr>
            <a:graphic>
              <a:graphicData uri="http://schemas.openxmlformats.org/drawingml/2006/picture">
                <pic:pic>
                  <pic:nvPicPr>
                    <pic:cNvPr id="0" name="A 23100-2026 karta.png"/>
                    <pic:cNvPicPr/>
                  </pic:nvPicPr>
                  <pic:blipFill>
                    <a:blip r:embed="rId16"/>
                    <a:stretch>
                      <a:fillRect/>
                    </a:stretch>
                  </pic:blipFill>
                  <pic:spPr>
                    <a:xfrm>
                      <a:off x="0" y="0"/>
                      <a:ext cx="5343869"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6468547, E 590395 i SWEREF 99 TM.</w:t>
      </w:r>
    </w:p>
    <w:p>
      <w:r>
        <w:t>Inom 24 meter från avverkningsanmälan finns fynd av 5 naturvårdsarter, varav 2 är rödlistade, 3 är typiska (T) och 1 är signalart (S): hyacintvaxskivling (EN), kattfotslav (NT, T), brandticka (S), glansfläck (T) och skriftlav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Hyacintvaxskivling (EN)</w:t>
      </w:r>
      <w:r>
        <w:t xml:space="preserve"> är en starkt hotad svamp som doftar hyacint och bildar mykorrhiza med barrträd, sannolikt främst med gran i äldre kalk- och örtrik barrblandskog. Arten hotas av skogsbruk och växtplatserna måste skyddas genom någon form av säkerställande (SLU Artdatabanken, 2024).</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Skriftlav</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