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26931-2026 i Söderköpings kommun</w:t>
      </w:r>
    </w:p>
    <w:p>
      <w:r>
        <w:t>Denna tillsynsbegäran behandlar höga naturvärden i avverkningsanmälan A 26931-2026 i Söderköpings kommun som inkom 2026-06-12 och omfattar 1,2 ha.</w:t>
      </w:r>
    </w:p>
    <w:p>
      <w:pPr>
        <w:pStyle w:val="Caption"/>
      </w:pPr>
      <w:r>
        <w:drawing>
          <wp:inline xmlns:a="http://schemas.openxmlformats.org/drawingml/2006/main" xmlns:pic="http://schemas.openxmlformats.org/drawingml/2006/picture">
            <wp:extent cx="5114226" cy="5724000"/>
            <wp:docPr id="1" name="Picture 1"/>
            <wp:cNvGraphicFramePr>
              <a:graphicFrameLocks noChangeAspect="1"/>
            </wp:cNvGraphicFramePr>
            <a:graphic>
              <a:graphicData uri="http://schemas.openxmlformats.org/drawingml/2006/picture">
                <pic:pic>
                  <pic:nvPicPr>
                    <pic:cNvPr id="0" name="A 26931-2026 karta.png"/>
                    <pic:cNvPicPr/>
                  </pic:nvPicPr>
                  <pic:blipFill>
                    <a:blip r:embed="rId16"/>
                    <a:stretch>
                      <a:fillRect/>
                    </a:stretch>
                  </pic:blipFill>
                  <pic:spPr>
                    <a:xfrm>
                      <a:off x="0" y="0"/>
                      <a:ext cx="5114226" cy="5724000"/>
                    </a:xfrm>
                    <a:prstGeom prst="rect"/>
                  </pic:spPr>
                </pic:pic>
              </a:graphicData>
            </a:graphic>
          </wp:inline>
        </w:drawing>
      </w:r>
    </w:p>
    <w:p>
      <w:pPr>
        <w:pStyle w:val="Caption"/>
        <w:spacing w:after="240"/>
      </w:pPr>
      <w:r>
        <w:t>Figur 1. Fyndplatser för naturvårdsarter i och inom 24 meter från avverkningsanmälan. Markörer utan svart kant är placerade på fyndplatsen. Markörer med svart kant är placerade vid sidan av fyndplatsen och har ett svart streck som visar fyndplatsens exakta position. Kartans mittpunktskoordinat är N 6479132, E 570085 i SWEREF 99 TM.</w:t>
      </w:r>
    </w:p>
    <w:p>
      <w:r>
        <w:t>I och inom 24 meter från avverkningsanmälan finns fynd av 10 naturvårdsarter, varav 5 är rödlistade, 2 är fridlysta, 2 är typiska (T) och 3 är signalarter (S): gyllensopp (VU), gullklubba (NT), kandelabersvamp (NT, T), persiljespindling (NT), svart skogssnigel (NT), björksplintborre (S), noshornsoxe (S), rävticka (S, T), vanlig groda (§6) och vanlig padda (§6).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Gyllensopp (VU) </w:t>
      </w:r>
      <w:r>
        <w:t>är en värmekrävande art som bildar mykorrhiza med ek i gläntor, bryn och gles ekskog, gärna i betade ekhagar liksom med bok i bokskogar med lång kontinuitet. Troligen är den kalkgynnad. Avverkning av värdträd samt nedläggning av bete med åtföljande igenväxning är negativt för arten. Ekskogar och ekhagar får inte avverkas eller tillåtas att växa igen eller planteras med barrskog (SLU Artdatabanken, 2024).</w:t>
      </w:r>
    </w:p>
    <w:p>
      <w:r>
        <w:rPr>
          <w:b/>
        </w:rPr>
        <w:t xml:space="preserve">Gullklubba (NT) </w:t>
      </w:r>
      <w:r>
        <w:t>är en liten gelésvamp med mycket exklusiva substratkrav. Den är nedbrytare på grov, gammal ved av ek, oftast på barklösa högstubbar och liggande stammar i ädellövskog, helst ljusöppen ekskog med inslag av mycket gamla träd. Borttagande av värdträd och andra fallna grova ekar på växtplatsen utgör det främsta hotet. Arten hotas på sikt av att olikåldriga bestånd av ek i hagmarks- och skogsmiljö avverkas och/eller förtätas på grund av upphörd hävd (SLU Artdatabanken, 2025).</w:t>
      </w:r>
    </w:p>
    <w:p>
      <w:r>
        <w:rPr>
          <w:b/>
        </w:rPr>
        <w:t>Kandelabersvamp (NT)</w:t>
      </w:r>
      <w:r>
        <w:t xml:space="preserve"> är en mycket bra signalart på skyddsvärda skogsbestånd i hela sitt utbredningsområde. Svampen indikerar sena aspsuccessioner inom områden med konstant hög luftfuktighet. Kandelabersvamp är typisk art för </w:t>
      </w:r>
      <w:r>
        <w:rPr>
          <w:i/>
        </w:rPr>
        <w:t xml:space="preserve">9010 Taiga </w:t>
      </w:r>
      <w:r>
        <w:t>(Nitare &amp; Skogsstyrelsen, 2019; SLU Artdatabanken, 2025).</w:t>
      </w:r>
    </w:p>
    <w:p>
      <w:r>
        <w:rPr>
          <w:b/>
        </w:rPr>
        <w:t>Persiljespindling (NT)</w:t>
      </w:r>
      <w:r>
        <w:t xml:space="preserve"> bildar mykorrhiza med tall, gran och bok i ängsgranskog, kalktallskog och i ängsbokskog på rikare mark. Minskningstakten uppgår till 15 % inom 50 år och bedöms vara nära gränsvärdet för Sårbar (VU). (A2c+3c+4c). Persiljespindlingen hotas av avverkningar och är särskilt känslig eftersom den är knuten till äldre, produktiv barrskog, d.v.s. en skogstyp som är en bristvara i skyddade områden i Sverige och som samtidigt försvinner i snabb takt genom slutavverkningar. Skyddet för äldre ört- och kalkrika barrskogar med trädkontinuitet måste öka och oskyddade bokskogar med persiljespindling måste få ett formellt skydd i form av biotopskydd eller naturreservat (SLU Artdatabanken, 2024).</w:t>
      </w:r>
    </w:p>
    <w:p>
      <w:r>
        <w:rPr>
          <w:b/>
        </w:rPr>
        <w:t xml:space="preserve">Björksplintborre </w:t>
      </w:r>
      <w:r>
        <w:t>är en skalbagge vars larvutveckling sker i bark på nyligen döda björkar, både stående träd och vindfällen. En prydlig rad med runda ventilationshål i barken ovanför modergången är synnerligen karaktäristiskt. Arten är knuten till lövrika blandskogar med en hög andel gamla träd, och starkt gynnad av naturliga störningar som torka, översvämningar, brand och stormfällningar. Talrika gnagspår kan tyda på biotoper med höga naturvärden, exempelvis för ovanliga hackspettar och andra, mer sällsynta vedinsekter. Larverna är omtyckt hackspettsföda (SLU Artdatabanken, 2025).</w:t>
      </w:r>
    </w:p>
    <w:p>
      <w:r>
        <w:rPr>
          <w:b/>
        </w:rPr>
        <w:t>Rävticka</w:t>
      </w:r>
      <w:r>
        <w:t xml:space="preserve"> är typisk art för </w:t>
      </w:r>
      <w:r>
        <w:rPr>
          <w:i/>
        </w:rPr>
        <w:t xml:space="preserve">9010 Taiga </w:t>
      </w:r>
      <w:r>
        <w:t>(SLU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