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13129-2022 i Söderköpings kommun</w:t>
      </w:r>
    </w:p>
    <w:p>
      <w:r>
        <w:t>Detta dokument behandlar höga naturvärden i avverkningsanmälan A 13129-2022 i Söderköpings kommun. Denna avverkningsanmälan inkom 2022-03-24 00:00:00 och omfattar 3,1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gammelekslav (NT), oxtungssvamp (NT), rosa skärelav (NT), skuggorangelav (NT), tallticka (NT), blåmossa (S) och gullviva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6935"/>
            <wp:docPr id="1" name="Picture 1"/>
            <wp:cNvGraphicFramePr>
              <a:graphicFrameLocks noChangeAspect="1"/>
            </wp:cNvGraphicFramePr>
            <a:graphic>
              <a:graphicData uri="http://schemas.openxmlformats.org/drawingml/2006/picture">
                <pic:pic>
                  <pic:nvPicPr>
                    <pic:cNvPr id="0" name="A 13129-2022 karta.png"/>
                    <pic:cNvPicPr/>
                  </pic:nvPicPr>
                  <pic:blipFill>
                    <a:blip r:embed="rId16"/>
                    <a:stretch>
                      <a:fillRect/>
                    </a:stretch>
                  </pic:blipFill>
                  <pic:spPr>
                    <a:xfrm>
                      <a:off x="0" y="0"/>
                      <a:ext cx="5486400" cy="56469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6465305, E 614982 i SWEREF 99 TM.</w:t>
      </w:r>
    </w:p>
    <w:p>
      <w:r>
        <w:rPr>
          <w:b/>
        </w:rPr>
        <w:t xml:space="preserve">Blåmossa </w:t>
      </w:r>
      <w:r>
        <w:t>har karaktäristiska kuddar som är lätta att se på långt håll. Mycket stora kuddar, större än 0,5 meter i höjd, indikerar höga naturvärden där skogen har en lång period av orördhet oh stabila miljöförhållanden. Mossan växer under gynnsamma omständigheter cirka 1 centimeter per år och stora kuddar kan därför indirekt visa att lokalen varit lämplig under en lång tid (Nitare &amp; Skogsstyrelsen, 2019).</w:t>
      </w:r>
    </w:p>
    <w:p>
      <w:r>
        <w:rPr>
          <w:b/>
        </w:rPr>
        <w:t xml:space="preserve">Gammelekslav (NT) </w:t>
      </w:r>
      <w:r>
        <w:t>är en mycket exklusiv lav som</w:t>
      </w:r>
      <w:r>
        <w:rPr>
          <w:b/>
        </w:rPr>
        <w:t xml:space="preserve"> </w:t>
      </w:r>
      <w:r>
        <w:t>växer på grova ekar i halvöppet läge med hög luftfuktighet. Lämpliga ekar nyskapas i mycket begränsad omfattning. Arten är placerad högst upp i Skogsstyrelsens värdepyramid för bedömning av skog med höga naturvärden. Håll öppet kring ekjättarnas ömtåliga och konkurrenskänsliga kronor. Särskilt rika lokaler med gammelekslav måste skyddas (SLU Artdatabanken, 2024; Nitare &amp; Skogsstyrelsen, 2019).</w:t>
      </w:r>
    </w:p>
    <w:p>
      <w:r>
        <w:rPr>
          <w:b/>
        </w:rPr>
        <w:t>Oxtungssvamp (NT)</w:t>
      </w:r>
      <w:r>
        <w:t xml:space="preserve"> växer nästan uteslutande på flerhundraåriga jätteekar i kulturlandskapet, till exempel i ekhagar och vid vägkanter, men kan även leva kvar på dess träd i mer slutna bestånd. Arten hotas av avverkning av värdträd och passande värdträd runt fyndplatserna samt av att olikåldriga bestånd med grov ek i hagmarks- och skogsmiljö avverkas (SLU Artdatabanken, 2024; Nitare &amp; Skogsstyrelsen, 2019).</w:t>
      </w:r>
    </w:p>
    <w:p>
      <w:r>
        <w:rPr>
          <w:b/>
        </w:rPr>
        <w:t>Rosa skärelav (NT)</w:t>
      </w:r>
      <w:r>
        <w:t xml:space="preserve"> är en sällsynt skorplav som är spridd från Skåne till Lule Lappmark. I södra Sverige förekommer den i trädbärande marker med lång trädkontinuitet, framför allt på ek och i norra Sverige förekommer den i kontinuitetsskog med hög luftfuktighet, främst på sälg. Särskilt rika lokaler med rosa skärelav måste skyddas. Alla skogar med arten bör undantas från slutavverkning (SLU Artdatabanken, 2024; Nitare &amp; Skogsstyrelsen, 2019).</w:t>
      </w:r>
    </w:p>
    <w:p>
      <w:r>
        <w:rPr>
          <w:b/>
        </w:rPr>
        <w:t>Skuggorangelav (NT)</w:t>
      </w:r>
      <w:r>
        <w:t xml:space="preserve"> växer främst på gamla grova ekar i halvöppna lägen. På lokaler med skuggorangelav måste ett tillräckligt antal unga träd tillåtas bli mycket gamla för att på lång sikt ersätta de nuvarande gammelträden (SLU Artdatabanken, 2024).</w:t>
      </w:r>
    </w:p>
    <w:p>
      <w:r>
        <w:rPr>
          <w:b/>
        </w:rPr>
        <w:t xml:space="preserve">Tallticka (NT) </w:t>
      </w:r>
      <w:r>
        <w:t>uppträder först på tallar som är 100–150 år gamla men är vanligast på träd som är runt 150–200 år eller äldre. I skogslandskapet är den främst knuten till tallnaturskogar och restbiotoper med biologiskt gamla träd och signalerar vanligtvis skyddsvärda tallbestånd med höga naturvärden (SLU Artdatabanken, 2023; Nitare &amp; Skogsstyrelsen, 2019).</w:t>
      </w:r>
    </w:p>
    <w:p>
      <w:pPr>
        <w:pStyle w:val="Heading1"/>
      </w:pPr>
      <w:r>
        <w:t>Fridlysta arter</w:t>
      </w:r>
    </w:p>
    <w:p>
      <w:r>
        <w:t>Följande fridlysta arter har sina livsmiljöer och växtplatser i den avverkningsanmälda skogen: gullviva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