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50388-2022 i Söderköpings kommun</w:t>
      </w:r>
    </w:p>
    <w:p>
      <w:r>
        <w:t>Detta dokument behandlar höga naturvärden i avverkningsanmälan A 50388-2022 i Söderköpings kommun. Denna avverkningsanmälan inkom 2022-11-01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ekpricklav (VU), knärot (VU, §8), skuggorangelav (NT), tallticka (NT), talltita (NT, §4), vedskivlav (NT), dropptaggsvamp (S), granbarkgnagare (S), grovticka (S), grönpyrola (S), mindre märgborre (S), nästlav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21500"/>
            <wp:docPr id="1" name="Picture 1"/>
            <wp:cNvGraphicFramePr>
              <a:graphicFrameLocks noChangeAspect="1"/>
            </wp:cNvGraphicFramePr>
            <a:graphic>
              <a:graphicData uri="http://schemas.openxmlformats.org/drawingml/2006/picture">
                <pic:pic>
                  <pic:nvPicPr>
                    <pic:cNvPr id="0" name="A 50388-2022 karta.png"/>
                    <pic:cNvPicPr/>
                  </pic:nvPicPr>
                  <pic:blipFill>
                    <a:blip r:embed="rId16"/>
                    <a:stretch>
                      <a:fillRect/>
                    </a:stretch>
                  </pic:blipFill>
                  <pic:spPr>
                    <a:xfrm>
                      <a:off x="0" y="0"/>
                      <a:ext cx="5486400" cy="7921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6460964, E 603799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Skuggorangelav (NT)</w:t>
      </w:r>
      <w:r>
        <w:t xml:space="preserve"> växer främst på gamla grova ekar i halvöppna lägen. På lokaler med skuggorangelav måste ett tillräckligt antal unga träd tillåtas bli mycket gamla för att på lång sikt ersätta de nuvarande gammelträden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3.04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0388-2022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6460964, E 603799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