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21042-2026 i Söderköpings kommun</w:t>
      </w:r>
    </w:p>
    <w:p>
      <w:r>
        <w:t>Detta klagomål behandlar höga naturvärden i avverkningsanmälan A 21042-2026 i Söderköpings kommun som inkom 2026-05-04 och omfattar 0,7 ha.</w:t>
      </w:r>
    </w:p>
    <w:p>
      <w:pPr>
        <w:pStyle w:val="Caption"/>
      </w:pPr>
      <w:r>
        <w:drawing>
          <wp:inline xmlns:a="http://schemas.openxmlformats.org/drawingml/2006/main" xmlns:pic="http://schemas.openxmlformats.org/drawingml/2006/picture">
            <wp:extent cx="5486400" cy="5147035"/>
            <wp:docPr id="1" name="Picture 1"/>
            <wp:cNvGraphicFramePr>
              <a:graphicFrameLocks noChangeAspect="1"/>
            </wp:cNvGraphicFramePr>
            <a:graphic>
              <a:graphicData uri="http://schemas.openxmlformats.org/drawingml/2006/picture">
                <pic:pic>
                  <pic:nvPicPr>
                    <pic:cNvPr id="0" name="A 21042-2026 karta.png"/>
                    <pic:cNvPicPr/>
                  </pic:nvPicPr>
                  <pic:blipFill>
                    <a:blip r:embed="rId16"/>
                    <a:stretch>
                      <a:fillRect/>
                    </a:stretch>
                  </pic:blipFill>
                  <pic:spPr>
                    <a:xfrm>
                      <a:off x="0" y="0"/>
                      <a:ext cx="5486400" cy="5147035"/>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6470811, E 602271 i SWEREF 99 TM.</w:t>
      </w:r>
    </w:p>
    <w:p>
      <w:r>
        <w:t>Inom 12 meter från avverkningsanmälan finns fynd av 2 naturvårdsarter, varav 1 är rödlistad, 1 är typisk (T) och 1 är signalart (S): gul dropplav (NT) och gulpudrad spiklav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Gul dropplav (NT) </w:t>
      </w:r>
      <w:r>
        <w:t>växer praktiskt taget enbart på gamla, grova ekar i öppna till halvöppna miljöer som glesa ekhagar och lövängar. Antalet gamla grova ekar har minskat och det är viktigt att hålla öppet kring stammar och kronor på grova ekar (SLU Artdatabanken, 2024).</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