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16730-2020 i Motala kommun</w:t>
      </w:r>
    </w:p>
    <w:p>
      <w:r>
        <w:t>Detta dokument behandlar höga naturvärden i avverkningsanmälan A 16730-2020 i Motala kommun. Denna avverkningsanmälan inkom 2020-03-30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skuggmossa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16730-2020 karta.png"/>
                    <pic:cNvPicPr/>
                  </pic:nvPicPr>
                  <pic:blipFill>
                    <a:blip r:embed="rId16"/>
                    <a:stretch>
                      <a:fillRect/>
                    </a:stretch>
                  </pic:blipFill>
                  <pic:spPr>
                    <a:xfrm>
                      <a:off x="0" y="0"/>
                      <a:ext cx="5486400" cy="4484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6491980, E 517664 i SWEREF 99 TM.</w:t>
      </w:r>
    </w:p>
    <w:p>
      <w:r>
        <w:rPr>
          <w:b/>
        </w:rPr>
        <w:t xml:space="preserve">Skuggmossa </w:t>
      </w:r>
      <w:r>
        <w:t>förekommer främst i skuggiga och fuktiga granskogar med hög och jämn luftfuktighet och signalerar alltid skog med höga naturvärden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