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10926-2020 i Motala kommun</w:t>
      </w:r>
    </w:p>
    <w:p>
      <w:r>
        <w:t>Detta dokument behandlar höga naturvärden i avverkningsanmälan A 10926-2020 i Motala kommun. Denna avverkningsanmälan inkom 2020-02-28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buskvicker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5848"/>
            <wp:docPr id="1" name="Picture 1"/>
            <wp:cNvGraphicFramePr>
              <a:graphicFrameLocks noChangeAspect="1"/>
            </wp:cNvGraphicFramePr>
            <a:graphic>
              <a:graphicData uri="http://schemas.openxmlformats.org/drawingml/2006/picture">
                <pic:pic>
                  <pic:nvPicPr>
                    <pic:cNvPr id="0" name="A 10926-2020 karta.png"/>
                    <pic:cNvPicPr/>
                  </pic:nvPicPr>
                  <pic:blipFill>
                    <a:blip r:embed="rId16"/>
                    <a:stretch>
                      <a:fillRect/>
                    </a:stretch>
                  </pic:blipFill>
                  <pic:spPr>
                    <a:xfrm>
                      <a:off x="0" y="0"/>
                      <a:ext cx="5486400" cy="51958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6494367, E 495475 i SWEREF 99 TM.</w:t>
      </w:r>
    </w:p>
    <w:p>
      <w:pPr>
        <w:pStyle w:val="Heading1"/>
      </w:pPr>
      <w:r>
        <w:t>Fridlysta arter</w:t>
      </w:r>
    </w:p>
    <w:p>
      <w:r>
        <w:t>Följande fridlysta arter har sina livsmiljöer och växtplatser i den avverkningsanmälda skogen: buskvicker (EN, §8).</w:t>
      </w:r>
    </w:p>
    <w:p>
      <w:r>
        <w:rPr>
          <w:b/>
        </w:rPr>
        <w:t>Buskvicker (EN, §8)</w:t>
      </w:r>
      <w:r>
        <w:t xml:space="preserve"> är en starkt hotad art som växer i gles lövskog och lundar, gärna i bryn och snår. Arten är fridlyst enligt 8 § artskyddsförordningen och flera av förekomsterna har en även i övrigt mycket artrik flora som gör dem ytterligare skyddsvärda. Minskningstakten har uppgått till 50 (30–70) % under de senaste 30 åren och överstiger gränsvärdet för Starkt hotad (EN) enligt A-kriteriet. (A2ab). Slutavverkning liksom omfattande röjningar bör undvikas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