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52894-2025 i Motala kommun</w:t>
      </w:r>
    </w:p>
    <w:p>
      <w:r>
        <w:t>Detta dokument behandlar höga naturvärden i avverkningsanmälan A 52894-2025 i Motala kommun. Denna avverkningsanmälan inkom 2025-10-27 13:56:38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och rödlistade arter.</w:t>
      </w:r>
    </w:p>
    <w:p>
      <w:pPr>
        <w:pStyle w:val="Heading1"/>
      </w:pPr>
      <w:r>
        <w:t>Naturvårdsarter</w:t>
      </w:r>
    </w:p>
    <w:p>
      <w:r>
        <w:t>I avverkningsanmälan har följande 3 naturvårdsarter hittats: knärot (VU, §8), spillkråka (NT, §4) och mindre märgborre (S).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98414"/>
            <wp:docPr id="1" name="Picture 1"/>
            <wp:cNvGraphicFramePr>
              <a:graphicFrameLocks noChangeAspect="1"/>
            </wp:cNvGraphicFramePr>
            <a:graphic>
              <a:graphicData uri="http://schemas.openxmlformats.org/drawingml/2006/picture">
                <pic:pic>
                  <pic:nvPicPr>
                    <pic:cNvPr id="0" name="A 52894-2025 karta.png"/>
                    <pic:cNvPicPr/>
                  </pic:nvPicPr>
                  <pic:blipFill>
                    <a:blip r:embed="rId16"/>
                    <a:stretch>
                      <a:fillRect/>
                    </a:stretch>
                  </pic:blipFill>
                  <pic:spPr>
                    <a:xfrm>
                      <a:off x="0" y="0"/>
                      <a:ext cx="5486400" cy="41984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6522599, E 515383 i SWEREF 99 TM.</w:t>
      </w:r>
    </w:p>
    <w:p>
      <w:r>
        <w:rPr>
          <w:b/>
        </w:rPr>
        <w:t>Mindre märgborre</w:t>
      </w:r>
      <w:r>
        <w:t xml:space="preserve"> är en signalart för tallskog med höga naturvärden och betraktas tillsammans med skarptandad barkborre (NT) som nyckelarter för ett antal sällsynta åtgärdsprogramsarter som är beroende av deras gångsystem. Bland dessa kan nämnas avlång barkborre (VU), </w:t>
      </w:r>
      <w:r>
        <w:rPr>
          <w:i/>
        </w:rPr>
        <w:t>Corticeus longulus</w:t>
      </w:r>
      <w:r>
        <w:t xml:space="preserve"> (VU), tallbarksvartbagge (VU), tallgångbagge (VU) och cholodkovskys bastborre (NT). Den mindre märgborrens måsvingeliknande gnaggångar är lätta att känna igen och hittas ofta på grova tallgrenar på marken. 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(Pettersson, 2014; Hedgren, 2012; Gunnarsson m fl., 1999).</w:t>
      </w:r>
    </w:p>
    <w:p>
      <w:pPr>
        <w:pStyle w:val="Heading1"/>
      </w:pPr>
      <w:r>
        <w:t>Fridlysta arter</w:t>
      </w:r>
    </w:p>
    <w:p>
      <w:r>
        <w:t>Följande fridlysta arter har sina livsmiljöer och växtplatser i den avverkningsanmälda skogen: knärot (VU, §8) och spillkråka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4 fyndplatser för knärot registrerade på Artportalen. Figur 2 visar gränserna för buffertzoner på 50 m, som behöver lämnas kring fyndplatserna för att knärotslokalerna inte ska försvinna vid en avverkning. Av det avverkningsanmälda området överlappar 1.11 ha med buffertzonerna och får av detta skäl inte avverkas.</w:t>
      </w:r>
    </w:p>
    <w:p>
      <w:pPr>
        <w:pStyle w:val="Caption"/>
      </w:pPr>
      <w:r>
        <w:drawing>
          <wp:inline xmlns:a="http://schemas.openxmlformats.org/drawingml/2006/main" xmlns:pic="http://schemas.openxmlformats.org/drawingml/2006/picture">
            <wp:extent cx="5486400" cy="4926218"/>
            <wp:docPr id="2" name="Picture 2"/>
            <wp:cNvGraphicFramePr>
              <a:graphicFrameLocks noChangeAspect="1"/>
            </wp:cNvGraphicFramePr>
            <a:graphic>
              <a:graphicData uri="http://schemas.openxmlformats.org/drawingml/2006/picture">
                <pic:pic>
                  <pic:nvPicPr>
                    <pic:cNvPr id="0" name="A 52894-2025 karta knärot.png"/>
                    <pic:cNvPicPr/>
                  </pic:nvPicPr>
                  <pic:blipFill>
                    <a:blip r:embed="rId17"/>
                    <a:stretch>
                      <a:fillRect/>
                    </a:stretch>
                  </pic:blipFill>
                  <pic:spPr>
                    <a:xfrm>
                      <a:off x="0" y="0"/>
                      <a:ext cx="5486400" cy="492621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6522599, E 515383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r>
        <w:br w:type="page"/>
      </w:r>
    </w:p>
    <w:p>
      <w:pPr>
        <w:pStyle w:val="Title"/>
      </w:pPr>
      <w:r>
        <w:t>BILAGA 1 –</w:t>
        <w:br/>
        <w:t>Fridlysta och rödlistade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(NT) som nyckelarter, eftersom en rad sällsynta efterföljande arter är beroende av deras gångsystem. Bland dessa kan nämnas åtgärdsprogramsarterna avlång barkborre (VU), </w:t>
      </w:r>
      <w:r>
        <w:rPr>
          <w:i/>
        </w:rPr>
        <w:t>Corticeus longulus</w:t>
      </w:r>
      <w:r>
        <w:t xml:space="preserve"> (VU), tallbarksvartbagge (VU), tallgångbagge (VU) och cholodkovskys bastborre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(NT). De barkborrar som missgynnas av större märgborre är i mycket högre grad gynnade av tallar som dör genom självgallring, dvs. i normalfallet skog som inte används till skogsproduktion (Pettersson, 2014; Wikars, skriftl.).</w:t>
      </w:r>
    </w:p>
    <w:p>
      <w:r>
        <w:t>Rika förekomster av främst mindre märgborre men även skarptandad barkborre (NT)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(Pettersson, 2014).</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