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422-2026 i Motala kommun</w:t>
      </w:r>
    </w:p>
    <w:p>
      <w:r>
        <w:t>Detta klagomål behandlar höga naturvärden i samrådsanmälan S 422-2026 i Motala kommun som inkom 2026-02-18 och omfattar 3,1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S 422-2026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6493928, E 494469 i SWEREF 99 TM.</w:t>
      </w:r>
    </w:p>
    <w:p>
      <w:r>
        <w:t>I och inom 5 meter från samrådsanmälan finns fynd av 4 naturvårdsarter, varav 2 är rödlistade, 2 är fridlysta och 1 är signalart (S): buskvicker (VU, §8), svart askbastborre (NT), brun nållav (S)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Buskvicker (VU, §8)</w:t>
      </w:r>
      <w:r>
        <w:t xml:space="preserve"> växer i gles lövskog och lundar, gärna i bryn och snår. Arten är fridlyst enligt 8 § artskyddsförordningen och flera av förekomsterna har en även i övrigt mycket artrik flora som gör dem ytterligare skyddsvärda. Slutavverkning liksom omfattande röjningar bör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