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2194-2023 i Motala kommun</w:t>
      </w:r>
    </w:p>
    <w:p>
      <w:r>
        <w:t>Detta klagomål behandlar höga naturvärden i avverkningsanmälan A 2194-2023 i Motala kommun som inkom 2023-01-16 och omfattar 3,9 ha.</w:t>
      </w:r>
    </w:p>
    <w:p>
      <w:pPr>
        <w:pStyle w:val="Caption"/>
      </w:pPr>
      <w:r>
        <w:drawing>
          <wp:inline xmlns:a="http://schemas.openxmlformats.org/drawingml/2006/main" xmlns:pic="http://schemas.openxmlformats.org/drawingml/2006/picture">
            <wp:extent cx="5486400" cy="5290322"/>
            <wp:docPr id="1" name="Picture 1"/>
            <wp:cNvGraphicFramePr>
              <a:graphicFrameLocks noChangeAspect="1"/>
            </wp:cNvGraphicFramePr>
            <a:graphic>
              <a:graphicData uri="http://schemas.openxmlformats.org/drawingml/2006/picture">
                <pic:pic>
                  <pic:nvPicPr>
                    <pic:cNvPr id="0" name="A 2194-2023 karta.png"/>
                    <pic:cNvPicPr/>
                  </pic:nvPicPr>
                  <pic:blipFill>
                    <a:blip r:embed="rId16"/>
                    <a:stretch>
                      <a:fillRect/>
                    </a:stretch>
                  </pic:blipFill>
                  <pic:spPr>
                    <a:xfrm>
                      <a:off x="0" y="0"/>
                      <a:ext cx="5486400" cy="5290322"/>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6494809, E 516550 i SWEREF 99 TM.</w:t>
      </w:r>
    </w:p>
    <w:p>
      <w:r>
        <w:t>Inom 2 meter från avverkningsanmälan finns fynd av 1 naturvårdsarter, varav 1 är fridlyst: fiskgjuse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Fiskgjuse (§4)</w:t>
      </w:r>
      <w:r>
        <w:t xml:space="preserve"> är fridlyst enligt 4§ artskyddsförordningen och upptagen i bilaga 1 EU:s fågeldirektiv. Den bygger vanligen sitt stora risbo i toppen av en plattkronad, kraftig tall (&gt;90%) med utsikt över omgivningen. Skogsavverkningar utan hänsyn till bevarandet av fiskgjusens boträd och häckningsbiotop utgör en fara genom att tillgången på lämpliga träd minskar. Lämna en skyddszon kring boplatser vid avverkning eller gallring. Boträdets placering styr behovet av skyddszon vilket måste bedömas från fall till fall, men skyddszonen bör vara tillräckligt bred för att behålla skydd mot insyn, erbjuda lämpliga sittplatser och förhindra att boträdet blåser ner. Avstå från skogsbruksåtgärder i hänsynskrävande miljöer, som på uddar eller öar med äldre skog eller hällmarkstallskog där det häckar fiskgjuse. Gör naturvårdsavsättningar i äldre skog i lämpliga områden för fiskgjuse, t.ex. på uddar och i hällmarksområden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