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förekommer främst i skuggiga och fuktiga granskogar med hög och jämn luftfuktighet och signalerar alltid skog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