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och fridlysta arter i avverkningsanmälan A 18633-2022 i Vadstena kommun</w:t>
      </w:r>
    </w:p>
    <w:p>
      <w:r>
        <w:t>Detta dokument behandlar höga naturvärden i avverkningsanmälan A 18633-2022 i Vadstena kommun. Denna avverkningsanmälan inkom 2022-05-06 och omfattar 1,6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och fridlysta arter som gjorts i det avverkningsanmälda området.</w:t>
      </w:r>
    </w:p>
    <w:p>
      <w:pPr>
        <w:pStyle w:val="Heading1"/>
      </w:pPr>
      <w:r>
        <w:t>Naturvårdsarter</w:t>
      </w:r>
    </w:p>
    <w:p>
      <w:r>
        <w:t>I avverkningsanmälan har följande 2 naturvårdsarter hittats: gulsparv (NT, §4) och blåsippa (§9). Av dessa är 1 rödlistade. För rödlistade arter har rödlistekategorin angivits inom parentes.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5472722"/>
            <wp:docPr id="1" name="Picture 1"/>
            <wp:cNvGraphicFramePr>
              <a:graphicFrameLocks noChangeAspect="1"/>
            </wp:cNvGraphicFramePr>
            <a:graphic>
              <a:graphicData uri="http://schemas.openxmlformats.org/drawingml/2006/picture">
                <pic:pic>
                  <pic:nvPicPr>
                    <pic:cNvPr id="0" name="A 18633-2022 karta.png"/>
                    <pic:cNvPicPr/>
                  </pic:nvPicPr>
                  <pic:blipFill>
                    <a:blip r:embed="rId16"/>
                    <a:stretch>
                      <a:fillRect/>
                    </a:stretch>
                  </pic:blipFill>
                  <pic:spPr>
                    <a:xfrm>
                      <a:off x="0" y="0"/>
                      <a:ext cx="5486400" cy="5472722"/>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6473760, E 484660 i SWEREF 99 TM.</w:t>
      </w:r>
    </w:p>
    <w:p>
      <w:pPr>
        <w:pStyle w:val="Heading1"/>
      </w:pPr>
      <w:r>
        <w:t>Fridlysta arter</w:t>
      </w:r>
    </w:p>
    <w:p>
      <w:r>
        <w:t>Följande fridlysta arter har sina livsmiljöer och växtplatser i den avverkningsanmälda skogen: gulsparv (NT, §4) och blåsippa (§9).</w:t>
      </w:r>
    </w:p>
    <w:p>
      <w:r>
        <w:t xml:space="preserve">Observera att medlemsländerna är skyldiga att agera i enlighet med EU:s fågeldirektiv där det uttryckligen står att direktivet gäller för fåglar samt för deras ägg, bon och </w:t>
      </w:r>
      <w:r>
        <w:rPr>
          <w:b/>
        </w:rPr>
        <w:t xml:space="preserve">livsmiljöer </w:t>
      </w:r>
      <w:r>
        <w:t>(artikel 1). Vidare att de åtgärder som vidtas inte får leda till en försämring av den nuvarande situationen beträffande bevarandet av de fågelarter som avses i artikel 1 (artikel 13). Fågeldirektivet är styrande för tillsynsansvariga myndigheters ärendehantering, ställningstaganden och beslutsfattande.</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2025-04-11</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