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9775-2026 i Aneby kommun</w:t>
      </w:r>
    </w:p>
    <w:p>
      <w:r>
        <w:t>Detta dokument behandlar höga naturvärden i avverkningsanmälan A 9775-2026 i Aneby kommun. Denna avverkningsanmälan inkom 2026-02-19 13:48:36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råttspindling (NT), hasselticka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9775-2026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6416169, E 493087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Råttspindling (NT)</w:t>
      </w:r>
      <w:r>
        <w:t xml:space="preserve"> bildar mykorrhiza med gran, på näringrik eller kalkrik mark, ofta i skog med hög bonitet och i äldre skogsbestånd. Total population i landet bedöms ha minskat och fortgående minska p.g.a slutavverkning av äldre barrskog på marker med hög bonitet. Lokaler med arten har ofta höga naturvärden och bör skyddas från avverkning. Virkesrika, äldre barrskogar med hög bonitet, på bättre jordar är en bristvara i befintliga, skyddade områden i Sverige. Därför måste fler örtrika barrskogar, särskilt de med trädkontinuitet, skyddas i större utsträckning än vad som tidigare gjorts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