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1456-2026 i Aneby kommun</w:t>
      </w:r>
    </w:p>
    <w:p>
      <w:r>
        <w:t>Denna tillsynsbegäran behandlar höga naturvärden i samrådsanmälan S 1456-2026 i Aneby kommun som inkom 2026-05-19 och omfattar 1,6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S 1456-2026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6416905, E 496997 i SWEREF 99 TM.</w:t>
      </w:r>
    </w:p>
    <w:p>
      <w:r>
        <w:t>I och inom 22 meter från samrådsanmälan finns fynd av 22 naturvårdsarter, varav 8 är rödlistade, 10 är fridlysta, 13 är typiska (T) och 8 är signalarter (S): garnlav (VU, T), knärot (VU, T, §8), björktrast (NT, §4), kandelabersvamp (NT, T), sotvaxskivling (NT), talltita (NT, §4), vedtrappmossa (NT, T), vårstarr (NT), barkkornlav (S, T), blomkålssvamp (S), bårdlav (S, T), fällmossa (S, T), grön sköldmossa (S, T, §8), guldlockmossa (S, T), gulnål (S, T), vedticka (S, T), blåsippa (T, §9), spillkråka (T, §4), gröngöling (§4), grönsiska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6370879"/>
            <wp:docPr id="2" name="Picture 2"/>
            <wp:cNvGraphicFramePr>
              <a:graphicFrameLocks noChangeAspect="1"/>
            </wp:cNvGraphicFramePr>
            <a:graphic>
              <a:graphicData uri="http://schemas.openxmlformats.org/drawingml/2006/picture">
                <pic:pic>
                  <pic:nvPicPr>
                    <pic:cNvPr id="0" name="S 1456-2026 karta knärot.png"/>
                    <pic:cNvPicPr/>
                  </pic:nvPicPr>
                  <pic:blipFill>
                    <a:blip r:embed="rId17"/>
                    <a:stretch>
                      <a:fillRect/>
                    </a:stretch>
                  </pic:blipFill>
                  <pic:spPr>
                    <a:xfrm>
                      <a:off x="0" y="0"/>
                      <a:ext cx="5486400" cy="63708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6416905, E 496997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kandelabersvamp (NT, T), vedtrappmossa (NT, T), barkkornlav (S, T), bårdlav (S, T), fällmossa (S, T), grön sköldmossa (S, T, §8), guldlockmossa (S, T), gulnål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