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228-2024 i Aneby kommun</w:t>
      </w:r>
    </w:p>
    <w:p>
      <w:r>
        <w:t>Denna tillsynsbegäran behandlar höga naturvärden i avverkningsanmälan A 228-2024 i Aneby kommun som inkom 2024-01-02 och omfattar 3,8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228-2024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6417004, E 497151 i SWEREF 99 TM.</w:t>
      </w:r>
    </w:p>
    <w:p>
      <w:r>
        <w:t>I och inom 25 meter från avverkningsanmälan finns fynd av 22 naturvårdsarter, varav 6 är rödlistade, 13 är fridlysta, 12 är typiska (T) och 8 är signalarter (S): knärot (VU, T, §8), björktrast (NT, §4), nötkråka (NT, T, §4), sotvaxskivling (NT), talltita (NT, §4), vedtrappmossa (NT, T), blodticka (S, T), bårdlav (S, T), flagellkvastmossa (S, T), fällmossa (S, T), grön sköldmossa (S, T, §8), gulnål (S, T), smal svampklubba (S), vedticka (S, T), mattlummer (T, §9), spillkråka (T, §4), gröngöling (§4), grönsiska (§4), kråka (§4), kungsfågel (§4),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243811"/>
            <wp:docPr id="2" name="Picture 2"/>
            <wp:cNvGraphicFramePr>
              <a:graphicFrameLocks noChangeAspect="1"/>
            </wp:cNvGraphicFramePr>
            <a:graphic>
              <a:graphicData uri="http://schemas.openxmlformats.org/drawingml/2006/picture">
                <pic:pic>
                  <pic:nvPicPr>
                    <pic:cNvPr id="0" name="A 228-2024 karta knärot.png"/>
                    <pic:cNvPicPr/>
                  </pic:nvPicPr>
                  <pic:blipFill>
                    <a:blip r:embed="rId17"/>
                    <a:stretch>
                      <a:fillRect/>
                    </a:stretch>
                  </pic:blipFill>
                  <pic:spPr>
                    <a:xfrm>
                      <a:off x="0" y="0"/>
                      <a:ext cx="5486400" cy="62438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6417004, E 497151 i SWEREF 99 TM.</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nötkråka (NT, T, §4), vedtrappmossa (NT, T), blodticka (S, T), bårdlav (S, T), flagellkvastmossa (S, T), fällmossa (S, T), grön sköldmossa (S, T, §8), gulnål (S, T), vedticka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