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38600-2026 i Aneby kommun</w:t>
      </w:r>
    </w:p>
    <w:p>
      <w:r>
        <w:t>Denna tillsynsbegäran behandlar höga naturvärden i avverkningsanmälan A 38600-2026 i Aneby kommun som inkom 2026-09-18 och omfattar 1,1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38600-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6417004, E 494068 i SWEREF 99 TM.</w:t>
      </w:r>
    </w:p>
    <w:p>
      <w:r>
        <w:t>I och inom 24 meter från avverkningsanmälan finns fynd av 14 naturvårdsarter, varav 6 är rödlistade, 1 är typisk (T) och 8 är signalarter (S): rodnande lutvaxing (VU), slåttergubbe (VU), trådvaxing (VU), ljus ängsfingersvamp (NT), praktvaxing (NT), scharlakansvaxing (NT), aprikosfingersvamp (S), blodvaxing (S), brandticka (S), broskvaxing (S), gulvaxing (S), hagfingersvamp (S), trådticka (S, 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