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38600-2026 i Aneby kommun</w:t>
      </w:r>
    </w:p>
    <w:p>
      <w:r>
        <w:t>Detta klagomål behandlar höga naturvärden i avverkningsanmälan A 38600-2026 i Aneby kommun som inkom 2026-09-18 och omfattar 1,1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38600-2026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6417004, E 494068 i SWEREF 99 TM.</w:t>
      </w:r>
    </w:p>
    <w:p>
      <w:r>
        <w:t>I och inom 24 meter från avverkningsanmälan finns fynd av 14 naturvårdsarter, varav 6 är rödlistade, 1 är typisk (T) och 8 är signalarter (S): rodnande lutvaxing (VU), slåttergubbe (VU), trådvaxing (VU), ljus ängsfingersvamp (NT), praktvaxing (NT), scharlakansvaxing (NT), aprikosfingersvamp (S), blodvaxing (S), brandticka (S), broskvaxing (S), gulvaxing (S), hagfingersvamp (S), trådticka (S, T) och vitvaxing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Ljus ängsfingersvamp (NT) </w:t>
      </w:r>
      <w:r>
        <w:t>växer i mossig grässvål i naturbetesmark och skogar såsom hässlen och ädellövskog, oftast på kalkrik mark. Förekommer till skillnad från många andra små fingersvampar lika ofta i skogsmiljöer som i naturbetesmarker. Skogsmiljöer av den typ arten trivs i har ofta ett stort skyddsvärde och eventuellt skogsbruk på dessa platser bör bedrivas skonsamt (SLU Artdatabanken, 2024).</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