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9775-2026 i Aneby kommun</w:t>
      </w:r>
    </w:p>
    <w:p>
      <w:r>
        <w:t>Detta klagomål behandlar höga naturvärden i avverkningsanmälan A 9775-2026 i Aneby kommun som inkom 2026-02-19 och omfattar 2,6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9775-2026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6416169, E 493087 i SWEREF 99 TM.</w:t>
      </w:r>
    </w:p>
    <w:p>
      <w:r>
        <w:t>I avverkningsanmälan finns fynd av 3 naturvårdsarter, varav 1 är rödlistad, 1 är fridlyst, 2 är typiska (T) och 1 är signalart (S): råttspindling (NT),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Råttspindling (NT)</w:t>
      </w:r>
      <w:r>
        <w:t xml:space="preserve"> bildar mykorrhiza med gran, på näringrik eller kalkrik mark, ofta i skog med hög bonitet och i äldre skogsbestånd. Total population i landet bedöms ha minskat och fortgående minska p.g.a slutavverkning av äldre barrskog på marker med hög bonitet. Lokaler med arten har ofta höga naturvärden och bör skyddas från avverkning. Virkesrika, äldre barrskogar med hög bonitet, på bättre jordar är en bristvara i befintliga, skyddade områden i Sverige. Därför måste fler örtrika barrskogar, särskilt de med trädkontinuitet, skyddas i större utsträckning än vad som tidigare gjorts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