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2227-2023 i Aneby kommun</w:t>
      </w:r>
    </w:p>
    <w:p>
      <w:r>
        <w:t>Detta klagomål behandlar höga naturvärden i samrådsanmälan S 2227-2023 i Aneby kommun som inkom 2023-07-02 och omfattar 1,6 ha.</w:t>
      </w:r>
    </w:p>
    <w:p>
      <w:pPr>
        <w:pStyle w:val="Caption"/>
      </w:pPr>
      <w:r>
        <w:drawing>
          <wp:inline xmlns:a="http://schemas.openxmlformats.org/drawingml/2006/main" xmlns:pic="http://schemas.openxmlformats.org/drawingml/2006/picture">
            <wp:extent cx="5486400" cy="5104036"/>
            <wp:docPr id="1" name="Picture 1"/>
            <wp:cNvGraphicFramePr>
              <a:graphicFrameLocks noChangeAspect="1"/>
            </wp:cNvGraphicFramePr>
            <a:graphic>
              <a:graphicData uri="http://schemas.openxmlformats.org/drawingml/2006/picture">
                <pic:pic>
                  <pic:nvPicPr>
                    <pic:cNvPr id="0" name="S 2227-2023 karta.png"/>
                    <pic:cNvPicPr/>
                  </pic:nvPicPr>
                  <pic:blipFill>
                    <a:blip r:embed="rId16"/>
                    <a:stretch>
                      <a:fillRect/>
                    </a:stretch>
                  </pic:blipFill>
                  <pic:spPr>
                    <a:xfrm>
                      <a:off x="0" y="0"/>
                      <a:ext cx="5486400" cy="5104036"/>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6416878, E 496940 i SWEREF 99 TM.</w:t>
      </w:r>
    </w:p>
    <w:p>
      <w:r>
        <w:t>I och inom 23 meter från samrådsanmälan finns fynd av 17 naturvårdsarter, varav 6 är rödlistade, 8 är fridlysta, 12 är typiska (T) och 6 är signalarter (S): garnlav (VU, T), kandelabersvamp (NT, T), nötkråka (NT, T, §4), talltita (NT, §4), vedtrappmossa (NT, T), vårstarr (NT), barkkornlav (S, T), bårdlav (S, T), fällmossa (S, T), grön sköldmossa (S, T, §8), guldlockmossa (S, T), gulnål (S, T), blåsippa (T, §9), spillkråka (T, §4), gröngöling (§4), kungsfågel (§4)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