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14606-2024 i Mullsjö kommun</w:t>
      </w:r>
    </w:p>
    <w:p>
      <w:r>
        <w:t>Detta dokument behandlar höga naturvärden i avverkningsanmälan A 14606-2024 i Mullsjö kommun. Denna avverkningsanmälan inkom 2024-04-14 17:02:56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ädellav (EN), brunpudrad nållav (NT), grynig filtlav (NT), lunglav (NT), brandticka (S), grön sköldmossa (S, §8), gulnål (S), korallblylav (S), lönnlav (S), mörk husmossa (S), skinnlav (S), skogshakmossa (S) och skuggsprötmossa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5092"/>
            <wp:docPr id="1" name="Picture 1"/>
            <wp:cNvGraphicFramePr>
              <a:graphicFrameLocks noChangeAspect="1"/>
            </wp:cNvGraphicFramePr>
            <a:graphic>
              <a:graphicData uri="http://schemas.openxmlformats.org/drawingml/2006/picture">
                <pic:pic>
                  <pic:nvPicPr>
                    <pic:cNvPr id="0" name="A 14606-2024 karta.png"/>
                    <pic:cNvPicPr/>
                  </pic:nvPicPr>
                  <pic:blipFill>
                    <a:blip r:embed="rId16"/>
                    <a:stretch>
                      <a:fillRect/>
                    </a:stretch>
                  </pic:blipFill>
                  <pic:spPr>
                    <a:xfrm>
                      <a:off x="0" y="0"/>
                      <a:ext cx="5486400" cy="297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6427718, E 432075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Skuggsprötmossa</w:t>
      </w:r>
      <w:r>
        <w:t xml:space="preserve"> växer på rik och vanligen fuktig skogsmark, samt på trädbaser och block, i både lövskog och barrskog. Skuggsprötmossa är typisk art för </w:t>
      </w:r>
      <w:r>
        <w:rPr>
          <w:i/>
        </w:rPr>
        <w:t xml:space="preserve">9180 Ädellövskog i branter </w:t>
      </w:r>
      <w:r>
        <w:t>(SLU Artdatabanken, 2025).</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