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14606-2024 i Mullsjö kommun</w:t>
      </w:r>
    </w:p>
    <w:p>
      <w:r>
        <w:t>Detta klagomål behandlar höga naturvärden i avverkningsanmälan A 14606-2024 i Mullsjö kommun som inkom 2024-04-14 och omfattar 9,7 ha.</w:t>
      </w:r>
    </w:p>
    <w:p>
      <w:pPr>
        <w:pStyle w:val="Caption"/>
      </w:pPr>
      <w:r>
        <w:drawing>
          <wp:inline xmlns:a="http://schemas.openxmlformats.org/drawingml/2006/main" xmlns:pic="http://schemas.openxmlformats.org/drawingml/2006/picture">
            <wp:extent cx="5486400" cy="4025245"/>
            <wp:docPr id="1" name="Picture 1"/>
            <wp:cNvGraphicFramePr>
              <a:graphicFrameLocks noChangeAspect="1"/>
            </wp:cNvGraphicFramePr>
            <a:graphic>
              <a:graphicData uri="http://schemas.openxmlformats.org/drawingml/2006/picture">
                <pic:pic>
                  <pic:nvPicPr>
                    <pic:cNvPr id="0" name="A 14606-2024 karta.png"/>
                    <pic:cNvPicPr/>
                  </pic:nvPicPr>
                  <pic:blipFill>
                    <a:blip r:embed="rId16"/>
                    <a:stretch>
                      <a:fillRect/>
                    </a:stretch>
                  </pic:blipFill>
                  <pic:spPr>
                    <a:xfrm>
                      <a:off x="0" y="0"/>
                      <a:ext cx="5486400" cy="4025245"/>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6427718, E 432075 i SWEREF 99 TM.</w:t>
      </w:r>
    </w:p>
    <w:p>
      <w:r>
        <w:t>I och inom 22 meter från avverkningsanmälan finns fynd av 13 naturvårdsarter, varav 4 är rödlistade, 1 är fridlyst, 11 är typiska (T) och 9 är signalarter (S): ädellav (VU, T), brunpudrad nållav (NT, T), grynig filtlav (NT, T), lunglav (NT, T), brandticka (S), grön sköldmossa (S, T, §8), gulnål (S, T), korallblylav (S, T), lönnlav (S), mörk husmossa (S, T), skinnlav (S, T), skogshakmossa (S, T) och skuggsprötmossa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Ädellav (VU) </w:t>
      </w:r>
      <w:r>
        <w:t xml:space="preserve">förekommer i kulturmiljöer som lövängar och ädellövträdsdungar på inägomark, skogsmiljöer som ädellövskog samt blandskogar med asp och gran. Luftfuktigheten är alltid hög. Arten är placerad högst upp i Skogsstyrelsens värdepyramid för bedömning av skog med höga naturvärden och lokaler bör skyddas mot slutavverkning och dikning. Ädellav är typisk art för </w:t>
      </w:r>
      <w:r>
        <w:rPr>
          <w:i/>
        </w:rPr>
        <w:t xml:space="preserve">9020 Nordlig ädellövskog, 9070 Trädklädd betesmark </w:t>
      </w:r>
      <w:r>
        <w:t xml:space="preserve">och </w:t>
      </w:r>
      <w:r>
        <w:rPr>
          <w:i/>
        </w:rPr>
        <w:t>9180 Ädellövskog i branter</w:t>
      </w:r>
      <w:r>
        <w:t xml:space="preserve"> (SLU Artdatabanken, 2026;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Skuggsprötmossa</w:t>
      </w:r>
      <w:r>
        <w:t xml:space="preserve"> växer på rik och vanligen fuktig skogsmark, samt på trädbaser och block, i både lövskog och barrskog. Skuggsprötmossa är typisk art för </w:t>
      </w:r>
      <w:r>
        <w:rPr>
          <w:i/>
        </w:rPr>
        <w:t xml:space="preserve">9180 Ädellövskog i branter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