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13663-2023 i Mullsjö kommun</w:t>
      </w:r>
    </w:p>
    <w:p>
      <w:r>
        <w:t>Detta dokument behandlar höga naturvärden i avverkningsanmälan A 13663-2023 i Mullsjö kommun. Denna avverkningsanmälan inkom 2023-03-21 00:00:00 och omfattar 6,0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brunpudrad nållav (NT), blodticka (S), gulnål (S) och kornig nållav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02821"/>
            <wp:docPr id="1" name="Picture 1"/>
            <wp:cNvGraphicFramePr>
              <a:graphicFrameLocks noChangeAspect="1"/>
            </wp:cNvGraphicFramePr>
            <a:graphic>
              <a:graphicData uri="http://schemas.openxmlformats.org/drawingml/2006/picture">
                <pic:pic>
                  <pic:nvPicPr>
                    <pic:cNvPr id="0" name="A 13663-2023 karta.png"/>
                    <pic:cNvPicPr/>
                  </pic:nvPicPr>
                  <pic:blipFill>
                    <a:blip r:embed="rId16"/>
                    <a:stretch>
                      <a:fillRect/>
                    </a:stretch>
                  </pic:blipFill>
                  <pic:spPr>
                    <a:xfrm>
                      <a:off x="0" y="0"/>
                      <a:ext cx="5486400" cy="31028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6419690, E 431894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 xml:space="preserve">Kornig nållav </w:t>
      </w:r>
      <w:r>
        <w:t>förekommer i skuggiga miljöer med hög luftfuktighet och påträffas främst i gamla skogar eller på gamla träd. Den signalerar höga naturvärden och på lokalerna finns ofta flera ovanliga och rödlistade arter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15 fyndplatser för knärot registrerade på Artportalen. Figur 2 visar gränserna för buffertzoner på 50 m, som behöver lämnas kring fyndplatserna för att knärotslokalerna inte ska försvinna vid en avverkning. Av det avverkningsanmälda området överlappar 3.29 ha med buffertzonerna och får av detta skäl inte avverkas.</w:t>
      </w:r>
    </w:p>
    <w:p>
      <w:pPr>
        <w:pStyle w:val="Caption"/>
      </w:pPr>
      <w:r>
        <w:drawing>
          <wp:inline xmlns:a="http://schemas.openxmlformats.org/drawingml/2006/main" xmlns:pic="http://schemas.openxmlformats.org/drawingml/2006/picture">
            <wp:extent cx="5486400" cy="3510989"/>
            <wp:docPr id="2" name="Picture 2"/>
            <wp:cNvGraphicFramePr>
              <a:graphicFrameLocks noChangeAspect="1"/>
            </wp:cNvGraphicFramePr>
            <a:graphic>
              <a:graphicData uri="http://schemas.openxmlformats.org/drawingml/2006/picture">
                <pic:pic>
                  <pic:nvPicPr>
                    <pic:cNvPr id="0" name="A 13663-2023 karta knärot.png"/>
                    <pic:cNvPicPr/>
                  </pic:nvPicPr>
                  <pic:blipFill>
                    <a:blip r:embed="rId17"/>
                    <a:stretch>
                      <a:fillRect/>
                    </a:stretch>
                  </pic:blipFill>
                  <pic:spPr>
                    <a:xfrm>
                      <a:off x="0" y="0"/>
                      <a:ext cx="5486400" cy="351098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6419690, E 431894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