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875-2025 i Mullsjö kommun</w:t>
      </w:r>
    </w:p>
    <w:p>
      <w:r>
        <w:t>Detta klagomål behandlar höga naturvärden i samrådsanmälan S 875-2025 i Mullsjö kommun som inkom 2025-03-19 och omfattar 2,8 ha.</w:t>
      </w:r>
    </w:p>
    <w:p>
      <w:pPr>
        <w:pStyle w:val="Caption"/>
      </w:pPr>
      <w:r>
        <w:drawing>
          <wp:inline xmlns:a="http://schemas.openxmlformats.org/drawingml/2006/main" xmlns:pic="http://schemas.openxmlformats.org/drawingml/2006/picture">
            <wp:extent cx="5179138" cy="5724000"/>
            <wp:docPr id="1" name="Picture 1"/>
            <wp:cNvGraphicFramePr>
              <a:graphicFrameLocks noChangeAspect="1"/>
            </wp:cNvGraphicFramePr>
            <a:graphic>
              <a:graphicData uri="http://schemas.openxmlformats.org/drawingml/2006/picture">
                <pic:pic>
                  <pic:nvPicPr>
                    <pic:cNvPr id="0" name="S 875-2025 karta.png"/>
                    <pic:cNvPicPr/>
                  </pic:nvPicPr>
                  <pic:blipFill>
                    <a:blip r:embed="rId16"/>
                    <a:stretch>
                      <a:fillRect/>
                    </a:stretch>
                  </pic:blipFill>
                  <pic:spPr>
                    <a:xfrm>
                      <a:off x="0" y="0"/>
                      <a:ext cx="5179138" cy="5724000"/>
                    </a:xfrm>
                    <a:prstGeom prst="rect"/>
                  </pic:spPr>
                </pic:pic>
              </a:graphicData>
            </a:graphic>
          </wp:inline>
        </w:drawing>
      </w:r>
    </w:p>
    <w:p>
      <w:pPr>
        <w:pStyle w:val="Caption"/>
        <w:spacing w:after="240"/>
      </w:pPr>
      <w:r>
        <w:t>Figur 1. Fyndplatser för naturvårdsarter i och inom 8 meter från samrådsanmälan. Markörer utan svart kant är placerade på fyndplatsen. Markörer med svart kant är placerade vid sidan av fyndplatsen och har ett svart streck som visar fyndplatsens exakta position. Kartans mittpunktskoordinat är N 6422891, E 430049 i SWEREF 99 TM.</w:t>
      </w:r>
    </w:p>
    <w:p>
      <w:r>
        <w:t>I och inom 8 meter från samrådsanmälan finns fynd av 21 naturvårdsarter, varav 12 är rödlistade, 1 är fridlyst, 13 är typiska (T) och 8 är signalarter (S): ask (EN), skogsalm (EN), backstarr (NT), brunpudrad nållav (NT, T), desmeknopp (NT), lunglav (NT, T), slåtterfibbla (NT, T), storgröe (NT, T), stubbtrådmossa (NT), trollfibbla (NT), vårstarr (NT), vårärt (NT, T), barkticka (S, T), hässleklocka (S, T), lönnlav (S), skogshakmossa (S, T), strutbräken (S, T), stubbspretmossa (S, T), trubbfjädermossa (S, T), vätteros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Desmeknopp (NT)</w:t>
      </w:r>
      <w:r>
        <w:t xml:space="preserve"> förekommer främst i södra delarna av landet, enstaka spridda förekomster finns till åtminstone Medelpad. Växer i skilda miljöer, företrädesvis i lövskog där marken är fuktig, skuggig, närings- och mullrik. Arten har minskat kraftigt under senare år, framför allt på grund av skogsavverkningar och dräneringar. Minskningstakten har uppgått till 25 (15–35) % under de senaste 30 åren och bedöms vara nära gränsvärdet för Sårbar (VU). (A2bc+4abc). Skogsavverkning på lokaler med förekomst av desmeknopp missgynnar eller utplånar arten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 xml:space="preserve">Storgröe (NT) </w:t>
      </w:r>
      <w:r>
        <w:t xml:space="preserve">växer helst i eller vid källor, i bäckraviner, i frodiga skogssluttningar eller sumpskog. Rörligt, gärna något kalkpåverkat, ytligt grundvatten är en förutsättning. Det är främst förändringar av hydrologiska förhållanden genom dikning, körning med skogsfordon eller avverkning som hotar arten. Växtplatserna bör undantas från normal skogsproduktion och kalavverkning är direkt olämpligt. Storgröe är typisk art för </w:t>
      </w:r>
      <w:r>
        <w:rPr>
          <w:i/>
        </w:rPr>
        <w:t xml:space="preserve">9020 Nordlig ädellövskog </w:t>
      </w:r>
      <w:r>
        <w:t>och</w:t>
      </w:r>
      <w:r>
        <w:rPr>
          <w:i/>
        </w:rPr>
        <w:t xml:space="preserve"> 9080 Lövsumpskog</w:t>
      </w:r>
      <w:r>
        <w:t xml:space="preserve"> (SLU Artdatabanken, 2024).</w:t>
      </w:r>
    </w:p>
    <w:p>
      <w:r>
        <w:rPr>
          <w:b/>
        </w:rPr>
        <w:t>Stubbtrådmossa (NT)</w:t>
      </w:r>
      <w:r>
        <w:t xml:space="preserve"> är en bladlevermossa som växer uteslutande på murken ved gärna tillsammans med vedsäckmossa (VU) i fuktig barrskog och arten har sin tyngdpunkt i södra och mellersta Sverige. Genom att arten inte klarar kalavverkning, till stor del fortfarande finns mest i produktionsskog med lång trädkontinuitet gör avverkningar av denna typ av skog att artens population kommer att fortsätta att minska. Alla skogsskötselåtgärder på eller i omedelbar närhet av artens lokaler utgör ett hot. Aktuella lokaler bör undantas från rationell skogsskötsel. För att klara arten på sikt måste mängden död ved i landets granskogar öka väsentligt (SLU Artdatabanken, 2026).</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 xml:space="preserve">Hässleklocka </w:t>
      </w:r>
      <w:r>
        <w:t xml:space="preserve">är typisk art för </w:t>
      </w:r>
      <w:r>
        <w:rPr>
          <w:i/>
        </w:rPr>
        <w:t xml:space="preserve">9020 Nordlig ädellövskog </w:t>
      </w:r>
      <w:r>
        <w:t xml:space="preserve">och </w:t>
      </w:r>
      <w:r>
        <w:rPr>
          <w:i/>
        </w:rPr>
        <w:t xml:space="preserve">9180 Ädellövskog i branter </w:t>
      </w:r>
      <w:r>
        <w:t>(SLU Artdatabanken, 2025).</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 xml:space="preserve">Vätteros </w:t>
      </w:r>
      <w:r>
        <w:t xml:space="preserve">är typisk art för </w:t>
      </w:r>
      <w:r>
        <w:rPr>
          <w:i/>
        </w:rPr>
        <w:t xml:space="preserve">9020 Nordlig ädellövskog </w:t>
      </w:r>
      <w:r>
        <w:t>och</w:t>
      </w:r>
      <w:r>
        <w:rPr>
          <w:i/>
        </w:rPr>
        <w:t xml:space="preserve"> 9160 Näringsrik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21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