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619-2024 i Mullsjö kommun</w:t>
      </w:r>
    </w:p>
    <w:p>
      <w:r>
        <w:t>Detta klagomål behandlar höga naturvärden i samrådsanmälan S 619-2024 i Mullsjö kommun som inkom 2024-03-04 och omfattar 143,0 ha.</w:t>
      </w:r>
    </w:p>
    <w:p>
      <w:pPr>
        <w:pStyle w:val="Caption"/>
      </w:pPr>
      <w:r>
        <w:drawing>
          <wp:inline xmlns:a="http://schemas.openxmlformats.org/drawingml/2006/main" xmlns:pic="http://schemas.openxmlformats.org/drawingml/2006/picture">
            <wp:extent cx="5310928" cy="5724000"/>
            <wp:docPr id="1" name="Picture 1"/>
            <wp:cNvGraphicFramePr>
              <a:graphicFrameLocks noChangeAspect="1"/>
            </wp:cNvGraphicFramePr>
            <a:graphic>
              <a:graphicData uri="http://schemas.openxmlformats.org/drawingml/2006/picture">
                <pic:pic>
                  <pic:nvPicPr>
                    <pic:cNvPr id="0" name="S 619-2024 karta.png"/>
                    <pic:cNvPicPr/>
                  </pic:nvPicPr>
                  <pic:blipFill>
                    <a:blip r:embed="rId16"/>
                    <a:stretch>
                      <a:fillRect/>
                    </a:stretch>
                  </pic:blipFill>
                  <pic:spPr>
                    <a:xfrm>
                      <a:off x="0" y="0"/>
                      <a:ext cx="5310928" cy="5724000"/>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6417737, E 431622 i SWEREF 99 TM.</w:t>
      </w:r>
    </w:p>
    <w:p>
      <w:r>
        <w:t>I och inom 16 meter från samrådsanmälan finns fynd av 19 naturvårdsarter, varav 6 är rödlistade, 19 är fridlysta och 5 är typiska (T): mosippa (EN, T, §8), duvhök (NT, §4), enkelbeckasin (NT, §4), gulsparv (NT, §4), göktyta (NT, §4), sparvuggla (NT, §4), järpe (T, §4), nattskärra (T, §4), spillkråka (T, §4), tjäder (T, §4), buskskvätta (§4), grönsiska (§4), hasselmus (§4a), havsörn (§4), kungsfågel (§4), orre (§4), trana (§4), trädlärka (§4) och törnskata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