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16467-2025 i Mullsjö kommun</w:t>
      </w:r>
    </w:p>
    <w:p>
      <w:r>
        <w:t>Detta klagomål behandlar höga naturvärden i avverkningsanmälan A 16467-2025 i Mullsjö kommun som inkom 2025-04-04 och omfattar 2,1 ha.</w:t>
      </w:r>
    </w:p>
    <w:p>
      <w:pPr>
        <w:pStyle w:val="Caption"/>
      </w:pPr>
      <w:r>
        <w:drawing>
          <wp:inline xmlns:a="http://schemas.openxmlformats.org/drawingml/2006/main" xmlns:pic="http://schemas.openxmlformats.org/drawingml/2006/picture">
            <wp:extent cx="5486400" cy="5642885"/>
            <wp:docPr id="1" name="Picture 1"/>
            <wp:cNvGraphicFramePr>
              <a:graphicFrameLocks noChangeAspect="1"/>
            </wp:cNvGraphicFramePr>
            <a:graphic>
              <a:graphicData uri="http://schemas.openxmlformats.org/drawingml/2006/picture">
                <pic:pic>
                  <pic:nvPicPr>
                    <pic:cNvPr id="0" name="A 16467-2025 karta.png"/>
                    <pic:cNvPicPr/>
                  </pic:nvPicPr>
                  <pic:blipFill>
                    <a:blip r:embed="rId16"/>
                    <a:stretch>
                      <a:fillRect/>
                    </a:stretch>
                  </pic:blipFill>
                  <pic:spPr>
                    <a:xfrm>
                      <a:off x="0" y="0"/>
                      <a:ext cx="5486400" cy="564288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6425425, E 429519 i SWEREF 99 TM.</w:t>
      </w:r>
    </w:p>
    <w:p>
      <w:r>
        <w:t>I och inom 21 meter från avverkningsanmälan finns fynd av 9 naturvårdsarter, varav 3 är rödlistade, 2 är fridlysta, 6 är typiska (T) och 4 är signalarter (S): backsippa (VU, §8), brunpudrad nållav (NT, T), stor sotdyna (NT), grön sköldmossa (S, T, §8), gulnål (S, T), kornig nållav (S, T), lönnlav (S), bandpraktmossa (T) och kransmossa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Bandpraktmossa</w:t>
      </w:r>
      <w:r>
        <w:t xml:space="preserve"> är en för Europa endemisk art som växer på blöt, näringsrik och ofta mineralrik mark, t.ex. i sumpskogar och rikkärr. Den verkar gynnas av källpåverkan och rörligt markvatten och förekommer ofta i artrika miljöer med t.ex. stor skedmossa, filtrundmossa och knoppvitmossa. Eftersom mängden våtmarker har reducerats kraftigt i södra Sverige under 1900-talet har förekomsten av bandpraktmossa troligen minskat. Bandpraktmossa är typisk art för </w:t>
      </w:r>
      <w:r>
        <w:rPr>
          <w:i/>
        </w:rPr>
        <w:t>9080 Lövsumpskog,</w:t>
      </w:r>
      <w:r>
        <w:t xml:space="preserve"> </w:t>
      </w:r>
      <w:r>
        <w:rPr>
          <w:i/>
        </w:rPr>
        <w:t>9750 Svämlövskog</w:t>
      </w:r>
      <w:r>
        <w:t xml:space="preserve"> och </w:t>
      </w:r>
      <w:r>
        <w:rPr>
          <w:i/>
        </w:rPr>
        <w:t>7230 Rikkärr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