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14606-2024 i Mullsjö kommun</w:t>
      </w:r>
    </w:p>
    <w:p>
      <w:r>
        <w:t>Detta dokument behandlar höga naturvärden i avverkningsanmälan A 14606-2024 i Mullsjö kommun. Denna avverkningsanmälan inkom 2024-04-14 17:02:56 och omfattar 9,7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ädellav (EN), brunpudrad nållav (NT), grynig filtlav (NT), lunglav (NT), brandticka (S), grön sköldmossa (S, §8), gulnål (S), korallblylav (S), lönnlav (S), mörk husmossa (S), skinnlav (S), skogshakmossa (S) och skuggsprötmossa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75092"/>
            <wp:docPr id="1" name="Picture 1"/>
            <wp:cNvGraphicFramePr>
              <a:graphicFrameLocks noChangeAspect="1"/>
            </wp:cNvGraphicFramePr>
            <a:graphic>
              <a:graphicData uri="http://schemas.openxmlformats.org/drawingml/2006/picture">
                <pic:pic>
                  <pic:nvPicPr>
                    <pic:cNvPr id="0" name="A 14606-2024 karta.png"/>
                    <pic:cNvPicPr/>
                  </pic:nvPicPr>
                  <pic:blipFill>
                    <a:blip r:embed="rId16"/>
                    <a:stretch>
                      <a:fillRect/>
                    </a:stretch>
                  </pic:blipFill>
                  <pic:spPr>
                    <a:xfrm>
                      <a:off x="0" y="0"/>
                      <a:ext cx="5486400" cy="2975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6427718, E 432075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Grynig filtlav är typisk art för </w:t>
      </w:r>
      <w:r>
        <w:rPr>
          <w:i/>
        </w:rPr>
        <w:t>9010 Taiga, 9020 Nordlig ädellövskog, 9110 Näringsfattig bokskog, 9130 Näringsrik bokskog, 9160 Näringsrik ekskog, 9180 Ädellövskog i branter,</w:t>
      </w:r>
      <w:r>
        <w:t xml:space="preserve"> </w:t>
      </w:r>
      <w:r>
        <w:rPr>
          <w:i/>
        </w:rPr>
        <w:t>9190 Näringsfattig ekskog</w:t>
      </w:r>
      <w:r>
        <w:t xml:space="preserve"> och </w:t>
      </w:r>
      <w:r>
        <w:rPr>
          <w:i/>
        </w:rPr>
        <w:t>9070 Trädklädd betesmark</w:t>
      </w:r>
      <w:r>
        <w:t xml:space="preserve"> (SLU Artdatabanken, 2024;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Skuggsprötmossa</w:t>
      </w:r>
      <w:r>
        <w:t xml:space="preserve"> växer på rik och vanligen fuktig skogsmark, samt på trädbaser och block, i både lövskog och barrskog. Skuggsprötmossa är typisk art för </w:t>
      </w:r>
      <w:r>
        <w:rPr>
          <w:i/>
        </w:rPr>
        <w:t xml:space="preserve">9180 Ädellövskog i branter </w:t>
      </w:r>
      <w:r>
        <w:t>(SLU Artdatabanken, 2025).</w:t>
      </w:r>
    </w:p>
    <w:p>
      <w:r>
        <w:rPr>
          <w:b/>
        </w:rPr>
        <w:t xml:space="preserve">Ädellav (EN) </w:t>
      </w:r>
      <w:r>
        <w:t xml:space="preserve">är en starkt hotad lav som förekommer i kulturmiljöer som lövängar och ädellövträdsdungar på inägomark, skogsmiljöer som ädellövskog samt blandskogar med asp och gran. Luftfuktigheten är alltid hög. Arten är placerad högst upp i Skogsstyrelsens värdepyramid för bedömning av skog med höga naturvärden och lokaler bör skyddas mot slutavverkning och dikning. Ädellav är typisk art för </w:t>
      </w:r>
      <w:r>
        <w:rPr>
          <w:i/>
        </w:rPr>
        <w:t xml:space="preserve">9020 Nordlig ädellövskog, 9070 Trädklädd betesmark </w:t>
      </w:r>
      <w:r>
        <w:t xml:space="preserve">och </w:t>
      </w:r>
      <w:r>
        <w:rPr>
          <w:i/>
        </w:rPr>
        <w:t>9180 Ädellövskog i branter</w:t>
      </w:r>
      <w:r>
        <w:t xml:space="preserve"> (SLU Artdatabanken, 2024; Nitare &amp; Skogsstyrelsen, 2019).</w:t>
      </w:r>
    </w:p>
    <w:p>
      <w:pPr>
        <w:pStyle w:val="Heading1"/>
      </w:pPr>
      <w:r>
        <w:t>Fridlysta arter</w:t>
      </w:r>
    </w:p>
    <w:p>
      <w:r>
        <w:t>Följande fridlysta arter har sina livsmiljöer och växtplatser i den avverkningsanmälda skogen: grön sköldmossa (S, §8).</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 xml:space="preserve">Grön sköldmossa är typisk art för </w:t>
      </w:r>
      <w:r>
        <w:rPr>
          <w:i/>
        </w:rPr>
        <w:t xml:space="preserve">9010 Taiga </w:t>
      </w:r>
      <w:r>
        <w:t>och</w:t>
      </w:r>
      <w:r>
        <w:rPr>
          <w:i/>
        </w:rPr>
        <w:t xml:space="preserve"> 9750 Svämlövskog</w:t>
      </w:r>
      <w:r>
        <w:t xml:space="preserve">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