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14606-2024 i Mullsjö kommun</w:t>
      </w:r>
    </w:p>
    <w:p>
      <w:r>
        <w:t>Detta dokument behandlar höga naturvärden i avverkningsanmälan A 14606-2024 i Mullsjö kommun. Denna avverkningsanmälan inkom 2024-04-14 17:02:56 och omfattar 9,7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ädellav (EN), brunpudrad nållav (NT), grynig filtlav (NT), lunglav (NT), brandticka (S), grön sköldmossa (S, §8), gulnål (S), korallblylav (S), lönnlav (S), mörk husmossa (S), skinnlav (S), skogshakmossa (S) och skuggsprötmossa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75092"/>
            <wp:docPr id="1" name="Picture 1"/>
            <wp:cNvGraphicFramePr>
              <a:graphicFrameLocks noChangeAspect="1"/>
            </wp:cNvGraphicFramePr>
            <a:graphic>
              <a:graphicData uri="http://schemas.openxmlformats.org/drawingml/2006/picture">
                <pic:pic>
                  <pic:nvPicPr>
                    <pic:cNvPr id="0" name="A 14606-2024 karta.png"/>
                    <pic:cNvPicPr/>
                  </pic:nvPicPr>
                  <pic:blipFill>
                    <a:blip r:embed="rId16"/>
                    <a:stretch>
                      <a:fillRect/>
                    </a:stretch>
                  </pic:blipFill>
                  <pic:spPr>
                    <a:xfrm>
                      <a:off x="0" y="0"/>
                      <a:ext cx="5486400" cy="29750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6427718, E 432075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Grynig filtlav (NT)</w:t>
      </w:r>
      <w:r>
        <w:t xml:space="preserve"> tillhör en grupp fuktighetskrävande, storväxta bladlavar där också bl.a. lunglav (NT) ingår. Den växer framför allt på gamla mossiga stammar av lövträd, särskilt ädellövträd samt asp och sälg, i kulturmarker, lövskogar, halvöppna och lövrika barrblandskogar i områden med hög luftfuktighet. Arten indikerar långvarig förekomst av gamla lövträd och ett mikroklimat med konstant hög och jämn luftfuktighet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 xml:space="preserve">Ädellav (EN) </w:t>
      </w:r>
      <w:r>
        <w:t>är en starkt hotad lav som förekommer i kulturmiljöer som lövängar och ädellövträdsdungar på inägomark, skogsmiljöer som ädellövskog samt blandskogar med asp och gran. Luftfuktigheten är alltid hög. Arten är placerad högst upp i Skogsstyrelsens värdepyramid för bedömning av skog med höga naturvärden och lokaler bör skyddas mot slutavverkning och dikning (SLU Artdatabanken, 2024; Nitare &amp; Skogsstyrelsen, 2019).</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