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cypresslummer (VU, §8), mellanlummer (VU, §9), torrmusseron (VU), motaggsvamp (NT) och svartvit taggsvamp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cypresslummer (VU, §8) och mellanlummer (VU, §9).</w:t>
      </w:r>
    </w:p>
    <w:p>
      <w:r>
        <w:rPr>
          <w:b/>
        </w:rPr>
        <w:t>Cypresslummer (VU, §8)</w:t>
      </w:r>
      <w:r>
        <w:t xml:space="preserve"> är fridlyst enligt 8 § artskyddsförordningen och omfattas av EU:s art- och habitatdirektiv där dess bevarandestatus är dålig med negativ trend.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(SLU Artdatabanken, 2024; Nitare &amp; Skogsstyrelsen, 2019; IUCN, 2016).</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