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6264-2024 i Habo kommun</w:t>
      </w:r>
    </w:p>
    <w:p>
      <w:r>
        <w:t>Denna tillsynsbegäran behandlar höga naturvärden i avverkningsanmälan A 6264-2024 i Habo kommun som inkom 2024-02-15 och omfattar 8,2 ha.</w:t>
      </w:r>
    </w:p>
    <w:p>
      <w:pPr>
        <w:pStyle w:val="Caption"/>
      </w:pPr>
      <w:r>
        <w:drawing>
          <wp:inline xmlns:a="http://schemas.openxmlformats.org/drawingml/2006/main" xmlns:pic="http://schemas.openxmlformats.org/drawingml/2006/picture">
            <wp:extent cx="5486400" cy="4396977"/>
            <wp:docPr id="1" name="Picture 1"/>
            <wp:cNvGraphicFramePr>
              <a:graphicFrameLocks noChangeAspect="1"/>
            </wp:cNvGraphicFramePr>
            <a:graphic>
              <a:graphicData uri="http://schemas.openxmlformats.org/drawingml/2006/picture">
                <pic:pic>
                  <pic:nvPicPr>
                    <pic:cNvPr id="0" name="A 6264-2024 karta.png"/>
                    <pic:cNvPicPr/>
                  </pic:nvPicPr>
                  <pic:blipFill>
                    <a:blip r:embed="rId16"/>
                    <a:stretch>
                      <a:fillRect/>
                    </a:stretch>
                  </pic:blipFill>
                  <pic:spPr>
                    <a:xfrm>
                      <a:off x="0" y="0"/>
                      <a:ext cx="5486400" cy="439697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6419199, E 436444 i SWEREF 99 TM.</w:t>
      </w:r>
    </w:p>
    <w:p>
      <w:r>
        <w:t>I och inom 11 meter från avverkningsanmälan finns fynd av 30 naturvårdsarter, varav 16 är rödlistade, 2 är fridlysta, 1 är typisk (T) och 13 är signalarter (S): bredgentiana (VU, §8), fläckmaskros (VU), fältgentiana (VU), knubbig hårjordtunga (VU), slåttergubbe (VU), granspira (NT), jungfrulin (NT), lutvaxing (NT), lädervaxing (NT), mjölrödskivling (NT), månlåsbräken (NT), praktvaxing (NT), scharlakansvaxing (NT), slåtterfibbla (NT, T), sommarfibbla (NT), svinrot (NT), aprikosfingersvamp (S), blodvaxing (S), gulvaxing (S), hagfingersvamp (S), honungsvaxing (S), luktvaxing (S), papegojvaxing (S), småvaxing (S), sprödvaxing (S), toppvaxing (S), vitvaxing agg. (S), ängsfingersvamp (S), ängsvaxing agg. (S)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Lutvaxing (NT) </w:t>
      </w:r>
      <w:r>
        <w:t>växer mest på magra, ogödslade naturbetes- och slåttermarker men kan även påträffas i subalpin och alpina gräsmarker samt i skogsbryn och på rikare mulljord i ädellövskog. Arten är globalt rödlistad som sårbar (VU) vilket innebär att Sverige har ett internationellt ansvar för arten (SLU Artdatabanken, 2024; IUCN, 2019).</w:t>
      </w:r>
    </w:p>
    <w:p>
      <w:r>
        <w:rPr>
          <w:b/>
        </w:rPr>
        <w:t xml:space="preserve">Praktvaxing (NT) </w:t>
      </w:r>
      <w:r>
        <w:t>växer i hedartad, sur och mager gräsmark med stagg och ljungtuvor på betad mark med lång historia av hävd, ofta bland mossa. De allra flesta fynden i såväl Sverige som i Norge är från öppna marker och bara ett fåtal från betade skogar. Praktvaxing ingår i ett åtgärdsprogram för hotade arter (ÅGP) och är globalt rödlistad som sårbar (VU) vilket innebär att Sverige har ett internationellt ansvar för arten (SLU Artdatabanken, 2024; IUCN, 2019; Jordal, 2011).</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Luktvaxing </w:t>
      </w:r>
      <w:r>
        <w:t>växer mindre allmänt men lokalt ganska rikligt på naturbetsmark, även inne i rika lövlundar. Den är tydligt kalkgynnad och vanligast i kalktrakter. Lukten är speciell, påminnande om bärfis eller ekriska (</w:t>
      </w:r>
      <w:r>
        <w:rPr>
          <w:i/>
        </w:rPr>
        <w:t>Lactarius quietus</w:t>
      </w:r>
      <w:r>
        <w:t>). Arten är globalt rödlistad som sårbar (VU) vilket innebär att Sverige har ett internationellt ansvar för arten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