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6264-2024 i Habo kommun</w:t>
      </w:r>
    </w:p>
    <w:p>
      <w:r>
        <w:t>Denna tillsynsbegäran behandlar höga naturvärden i avverkningsanmälan A 6264-2024 i Habo kommun som inkom 2024-02-15 och omfattar 8,2 ha.</w:t>
      </w:r>
    </w:p>
    <w:p>
      <w:pPr>
        <w:pStyle w:val="Caption"/>
      </w:pPr>
      <w:r>
        <w:drawing>
          <wp:inline xmlns:a="http://schemas.openxmlformats.org/drawingml/2006/main" xmlns:pic="http://schemas.openxmlformats.org/drawingml/2006/picture">
            <wp:extent cx="5486400" cy="4396977"/>
            <wp:docPr id="1" name="Picture 1"/>
            <wp:cNvGraphicFramePr>
              <a:graphicFrameLocks noChangeAspect="1"/>
            </wp:cNvGraphicFramePr>
            <a:graphic>
              <a:graphicData uri="http://schemas.openxmlformats.org/drawingml/2006/picture">
                <pic:pic>
                  <pic:nvPicPr>
                    <pic:cNvPr id="0" name="A 6264-2024 karta.png"/>
                    <pic:cNvPicPr/>
                  </pic:nvPicPr>
                  <pic:blipFill>
                    <a:blip r:embed="rId16"/>
                    <a:stretch>
                      <a:fillRect/>
                    </a:stretch>
                  </pic:blipFill>
                  <pic:spPr>
                    <a:xfrm>
                      <a:off x="0" y="0"/>
                      <a:ext cx="5486400" cy="439697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6419199, E 436444 i SWEREF 99 TM.</w:t>
      </w:r>
    </w:p>
    <w:p>
      <w:r>
        <w:t>I och inom 11 meter från avverkningsanmälan finns fynd av 30 naturvårdsarter, varav 16 är rödlistade, 2 är fridlysta, 1 är typisk (T) och 13 är signalarter (S): bredgentiana (VU, §8), fläckmaskros (VU), fältgentiana (VU), knubbig hårjordtunga (VU), slåttergubbe (VU), granspira (NT), jungfrulin (NT), lutvaxing (NT), lädervaxing (NT), mjölrödskivling (NT), månlåsbräken (NT), praktvaxing (NT), scharlakansvaxing (NT), slåtterfibbla (NT, T), sommarfibbla (NT), svinrot (NT), aprikosfingersvamp (S), blodvaxing (S), gulvaxing (S), hagfingersvamp (S), honungsvaxing (S), luktvaxing (S), papegojvaxing (S), småvaxing (S), sprödvaxing (S), toppvaxing (S), vitvaxing agg. (S), ängsfingersvamp (S), ängsvaxing agg. (S)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Lutvaxing (NT) </w:t>
      </w:r>
      <w:r>
        <w:t>växer mest på magra, ogödslade naturbetes- och slåttermarker men kan även påträffas i subalpin och alpina gräsmarker samt i skogsbryn och på rikare mulljord i ädellövskog. Arten är globalt rödlistad som sårbar (VU) vilket innebär att Sverige har ett internationellt ansvar för arten (SLU Artdatabanken, 2024; IUCN, 2019).</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